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86FA" w14:textId="67D9B9E0" w:rsidR="00516062" w:rsidRPr="00F970E6" w:rsidRDefault="00516062" w:rsidP="007E4395">
      <w:pPr>
        <w:jc w:val="both"/>
        <w:rPr>
          <w:b/>
        </w:rPr>
      </w:pPr>
      <w:r w:rsidRPr="00F970E6">
        <w:rPr>
          <w:b/>
        </w:rPr>
        <w:t xml:space="preserve">Tööjõuvajadus ja </w:t>
      </w:r>
      <w:proofErr w:type="spellStart"/>
      <w:r w:rsidRPr="00F970E6">
        <w:rPr>
          <w:b/>
        </w:rPr>
        <w:t>välistööjõud</w:t>
      </w:r>
      <w:proofErr w:type="spellEnd"/>
    </w:p>
    <w:p w14:paraId="0C1A1691" w14:textId="77777777" w:rsidR="00516062" w:rsidRPr="009B0375" w:rsidRDefault="00516062" w:rsidP="007E4395">
      <w:pPr>
        <w:jc w:val="both"/>
        <w:rPr>
          <w:u w:val="single"/>
        </w:rPr>
      </w:pPr>
      <w:r w:rsidRPr="009B0375">
        <w:rPr>
          <w:u w:val="single"/>
        </w:rPr>
        <w:t>Sissejuhatus</w:t>
      </w:r>
    </w:p>
    <w:p w14:paraId="5A56DBD0" w14:textId="7DCA271B" w:rsidR="00056D8C" w:rsidRDefault="00056D8C" w:rsidP="007E4395">
      <w:pPr>
        <w:jc w:val="both"/>
      </w:pPr>
      <w:r>
        <w:t>Kaks aastat tagasi viidi läbi samateemaline analüüs</w:t>
      </w:r>
      <w:r w:rsidR="00544296">
        <w:rPr>
          <w:rStyle w:val="Allmrkuseviide"/>
        </w:rPr>
        <w:footnoteReference w:id="1"/>
      </w:r>
      <w:r>
        <w:t xml:space="preserve">. Kuna </w:t>
      </w:r>
      <w:r w:rsidR="00CF4C4F">
        <w:t xml:space="preserve">mitmed </w:t>
      </w:r>
      <w:r w:rsidR="009A15D6">
        <w:t>analüüsi järeldus</w:t>
      </w:r>
      <w:r w:rsidR="002C2C6B">
        <w:t>e</w:t>
      </w:r>
      <w:r w:rsidR="009A15D6">
        <w:t xml:space="preserve">d </w:t>
      </w:r>
      <w:r>
        <w:t xml:space="preserve">kehtivad ka täna, siis mõningaid seal käsitletud teemasid uuesti ei vaadelda: olukord Euroopa tööturul (töötuse määr oli valdavalt Eestist kõrgem), </w:t>
      </w:r>
      <w:proofErr w:type="spellStart"/>
      <w:r>
        <w:t>välistööjõu</w:t>
      </w:r>
      <w:proofErr w:type="spellEnd"/>
      <w:r>
        <w:t xml:space="preserve"> kasutamine Eestis (korreleerub üsna tugevalt Eesti elanike välismaal töötamisega), </w:t>
      </w:r>
      <w:proofErr w:type="spellStart"/>
      <w:r>
        <w:t>välistööjõu</w:t>
      </w:r>
      <w:proofErr w:type="spellEnd"/>
      <w:r>
        <w:t xml:space="preserve"> eeldatav vajadus ja erinevad indikaatorid (lihtsa, näiteks juhtidele ja spetsialistidele või palgakriteeriumi põhjal eelistuste tegemine aitab katta suure osa tööjõu</w:t>
      </w:r>
      <w:r w:rsidR="009A15D6">
        <w:t>puudujäägiga valdkondadest</w:t>
      </w:r>
      <w:r>
        <w:t>). Järgnevalt</w:t>
      </w:r>
      <w:r w:rsidR="00CF4C4F">
        <w:t xml:space="preserve"> keskendutakse</w:t>
      </w:r>
      <w:r>
        <w:t xml:space="preserve"> </w:t>
      </w:r>
      <w:proofErr w:type="spellStart"/>
      <w:r>
        <w:t>välistööjõu</w:t>
      </w:r>
      <w:proofErr w:type="spellEnd"/>
      <w:r>
        <w:t xml:space="preserve"> kasutamise kooskõlale tööjõu puudujäägi hinnangutega ning </w:t>
      </w:r>
      <w:proofErr w:type="spellStart"/>
      <w:r>
        <w:t>välistööjõu</w:t>
      </w:r>
      <w:proofErr w:type="spellEnd"/>
      <w:r>
        <w:t xml:space="preserve"> palgaanalüüsile.</w:t>
      </w:r>
    </w:p>
    <w:p w14:paraId="487B1D82" w14:textId="7D7ADBFD" w:rsidR="008377F6" w:rsidRDefault="002E7EBB" w:rsidP="007E4395">
      <w:pPr>
        <w:jc w:val="both"/>
      </w:pPr>
      <w:r>
        <w:t xml:space="preserve">Viimastel aastatel on tänu sisserändele rahvastikuprognoosid muutunud positiivsemaks, kuid tööturu vaates on peamised järeldused samad: nö normaalsetes majandusoludes on </w:t>
      </w:r>
      <w:r w:rsidR="00BD788E">
        <w:t xml:space="preserve">pigem </w:t>
      </w:r>
      <w:r>
        <w:t>keeruline leida töötajaid ning probleem süveneb. Vaadates ainult Eesti elanikke, siis järgneva kümne aasta jooksul on prognoosi kohaselt tööturule sisenevate noorte arv samas suurusjärgus kui vanuse jm põhjustel jäädavalt lahkub, kuid lisaks näeb prognoos ette ka täiendavat tööjõuvajadust kasvavates valdkondades</w:t>
      </w:r>
      <w:r>
        <w:rPr>
          <w:rStyle w:val="Allmrkuseviide"/>
        </w:rPr>
        <w:footnoteReference w:id="2"/>
      </w:r>
      <w:r>
        <w:t xml:space="preserve">. </w:t>
      </w:r>
      <w:r w:rsidR="00562D4F">
        <w:t>Samuti ei jagune lõpetajad vastavalt vajadusele ehk mitmetes valdkondades kipub pidevalt olema puudujääk</w:t>
      </w:r>
      <w:r w:rsidR="00544296">
        <w:t xml:space="preserve">, näiteks </w:t>
      </w:r>
      <w:proofErr w:type="spellStart"/>
      <w:r w:rsidR="00544296">
        <w:t>IKT</w:t>
      </w:r>
      <w:r w:rsidR="002C2C6B">
        <w:t>s</w:t>
      </w:r>
      <w:proofErr w:type="spellEnd"/>
      <w:r w:rsidR="002C2C6B">
        <w:rPr>
          <w:rStyle w:val="Allmrkuseviide"/>
        </w:rPr>
        <w:footnoteReference w:id="3"/>
      </w:r>
      <w:r w:rsidR="00562D4F">
        <w:t xml:space="preserve">. </w:t>
      </w:r>
      <w:r>
        <w:t>Kuigi tehnoloogia areng ja automatiseerimine võimaldavad teatud töökohti asendada masinatega, siis lähiaastatel jääb selle mõju tööturule veel eeldatavalt väikeseks, kuid koos tehnoloogia odavnemise ja palgasurvega võib oodata nende muutuste kiirenemist. Praegu on aga siiski veel põhiküsimus, kuidas leida töökohtadele sobivaid inimesi. Siinkohal tasub meeles pidada, et tööjõu leidmine ei jää alati inimeste puudumise taha, vaid tihti on küsimus ka tööandjate ja töövõtjate erinevatest oodustest (töötingimustele, palgale, asukohale jne). Kuna Eestis kasutamata sisemisi ressursse on jäänud vähemaks</w:t>
      </w:r>
      <w:r w:rsidR="007026A6">
        <w:rPr>
          <w:rStyle w:val="Allmrkuseviide"/>
        </w:rPr>
        <w:footnoteReference w:id="4"/>
      </w:r>
      <w:r>
        <w:t xml:space="preserve">, siis on järjest rohkem vaadatud </w:t>
      </w:r>
      <w:proofErr w:type="spellStart"/>
      <w:r>
        <w:t>välistööjõu</w:t>
      </w:r>
      <w:proofErr w:type="spellEnd"/>
      <w:r>
        <w:t xml:space="preserve"> suunas.</w:t>
      </w:r>
      <w:r w:rsidR="005F0CA0">
        <w:t xml:space="preserve"> </w:t>
      </w:r>
      <w:proofErr w:type="spellStart"/>
      <w:r w:rsidR="005F0CA0">
        <w:t>Välistööjõu</w:t>
      </w:r>
      <w:proofErr w:type="spellEnd"/>
      <w:r w:rsidR="005F0CA0">
        <w:t xml:space="preserve"> kaasamine aitab otseselt </w:t>
      </w:r>
      <w:r w:rsidR="00487324">
        <w:t>nö täita tühimikku</w:t>
      </w:r>
      <w:r w:rsidR="005F0CA0">
        <w:t xml:space="preserve"> ettevõtja </w:t>
      </w:r>
      <w:r w:rsidR="00487324">
        <w:t>vaates</w:t>
      </w:r>
      <w:r w:rsidR="005F0CA0">
        <w:t>, kuid tööränne toob ka riigi vaatest rohkem tulu kui kulu</w:t>
      </w:r>
      <w:r w:rsidR="005F0CA0">
        <w:rPr>
          <w:rStyle w:val="Allmrkuseviide"/>
        </w:rPr>
        <w:footnoteReference w:id="5"/>
      </w:r>
      <w:r w:rsidR="005F0CA0">
        <w:t>.</w:t>
      </w:r>
    </w:p>
    <w:p w14:paraId="21FE58E6" w14:textId="3A3C4987" w:rsidR="002E7EBB" w:rsidRPr="002E7EBB" w:rsidRDefault="002E7EBB" w:rsidP="007E4395">
      <w:pPr>
        <w:jc w:val="both"/>
        <w:rPr>
          <w:u w:val="single"/>
        </w:rPr>
      </w:pPr>
      <w:r w:rsidRPr="002E7EBB">
        <w:rPr>
          <w:u w:val="single"/>
        </w:rPr>
        <w:t xml:space="preserve">Hinnang tööjõuvajaduse ja </w:t>
      </w:r>
      <w:r w:rsidR="0081506F">
        <w:rPr>
          <w:u w:val="single"/>
        </w:rPr>
        <w:t>-</w:t>
      </w:r>
      <w:r w:rsidRPr="002E7EBB">
        <w:rPr>
          <w:u w:val="single"/>
        </w:rPr>
        <w:t>pakkumise</w:t>
      </w:r>
      <w:r>
        <w:rPr>
          <w:u w:val="single"/>
        </w:rPr>
        <w:t xml:space="preserve"> tasakaalu</w:t>
      </w:r>
      <w:r w:rsidRPr="002E7EBB">
        <w:rPr>
          <w:u w:val="single"/>
        </w:rPr>
        <w:t>le</w:t>
      </w:r>
    </w:p>
    <w:p w14:paraId="62AAA68A" w14:textId="52C56E7D" w:rsidR="00516062" w:rsidRDefault="00516062" w:rsidP="007E4395">
      <w:pPr>
        <w:jc w:val="both"/>
      </w:pPr>
      <w:r>
        <w:t xml:space="preserve">Tööjõuvajaduse </w:t>
      </w:r>
      <w:r w:rsidR="0081506F">
        <w:t xml:space="preserve">ja -pakkumise </w:t>
      </w:r>
      <w:r>
        <w:t>tasakaalu hindamisel saab kasutada Eesti</w:t>
      </w:r>
      <w:r w:rsidR="0081506F">
        <w:t>s</w:t>
      </w:r>
      <w:r>
        <w:t xml:space="preserve"> kolme allikat: </w:t>
      </w:r>
      <w:proofErr w:type="spellStart"/>
      <w:r>
        <w:t>MKMi</w:t>
      </w:r>
      <w:proofErr w:type="spellEnd"/>
      <w:r>
        <w:t xml:space="preserve"> tööjõuvajaduse ja -pakkumise prognoos, OSKA tööjõuvajaduse uuringud ja Töötukassa tööjõubaromeeter</w:t>
      </w:r>
      <w:r w:rsidR="00E04144">
        <w:rPr>
          <w:rStyle w:val="Allmrkuseviide"/>
        </w:rPr>
        <w:footnoteReference w:id="6"/>
      </w:r>
      <w:r>
        <w:t xml:space="preserve">. </w:t>
      </w:r>
      <w:proofErr w:type="spellStart"/>
      <w:r>
        <w:t>MKMi</w:t>
      </w:r>
      <w:proofErr w:type="spellEnd"/>
      <w:r>
        <w:t xml:space="preserve"> prognoosi põhifookus on kutse- ja kõrgharidusega noortel, kes võiksid asendada jäädavalt tööturult lahkujaid järgneva kümnendi jooksul. OSKA valdkondlikes uuringutes vaadatakse kõiki (sh täiskasvanud) lõpetajaid, lisaks täiendatakse hinnangud tööjõuvajadusele kvalitatiivse infoga. Tööjõubaromeeter kajastab pigem lühiajalist vaadet</w:t>
      </w:r>
      <w:r w:rsidR="00E10F3B">
        <w:t xml:space="preserve"> maakonnit</w:t>
      </w:r>
      <w:r w:rsidR="00787228">
        <w:t>i</w:t>
      </w:r>
      <w:r w:rsidR="00614539">
        <w:t>.</w:t>
      </w:r>
    </w:p>
    <w:p w14:paraId="30B4DCCE" w14:textId="4E60D4CA" w:rsidR="007E4148" w:rsidRDefault="007E4148" w:rsidP="007E4395">
      <w:pPr>
        <w:jc w:val="both"/>
      </w:pPr>
      <w:proofErr w:type="spellStart"/>
      <w:r>
        <w:lastRenderedPageBreak/>
        <w:t>MKMi</w:t>
      </w:r>
      <w:proofErr w:type="spellEnd"/>
      <w:r>
        <w:t xml:space="preserve"> 2020. aastal koostatud tööjõuvajaduse ja -pakkumise prognoosi kohaselt ei kata lähema kümne aasta jooksul (mittetäiskasvanud) kutse- ja kõrghariduse lõpetajad Eestis tööjõuvajadust, kuna rahvastikuprognoosidest lähtuvalt on oodata lõpetajate arvu vähenemist ning kõik lõpetajad ei jõua tööturule. Hinnanguline puudujääk kutse- ja kõrghariduse osas on suurusjärgus 2000 inimest aastas, osa sellest aitavad katta üldkeskhariduse või madalama haridusega noored ning täna tööturult eemal olevad inimesed</w:t>
      </w:r>
      <w:r w:rsidR="00787228">
        <w:t xml:space="preserve">, kuid </w:t>
      </w:r>
      <w:r w:rsidR="00817DD5">
        <w:t>täiendavalt</w:t>
      </w:r>
      <w:r w:rsidR="005A5490">
        <w:t xml:space="preserve"> on vajadus ka madalamat haridustaset eeldavate töökohtade täitmiseks</w:t>
      </w:r>
      <w:r>
        <w:t xml:space="preserve">. Suurim prognoositav puudujääk (vt lisa 1) on IKT spetsialistide osas, lisaks tulevad esile erinevate tegevusalade juhid (kus ei peagi toimuma nö liikumist koolipingist juhiks), mootorsõidukite juhid, loodus- ja tehnikateaduste keskastme spetsialistid (tööstuse töödejuhatajad), tervishoiu (õenduse) keskastme spetsialistid ja pedagoogika tippspetsialistid, isikuhooldustöötajad. Kõige parem on olukord äri- ja haldusalal töötavate keskastme spetsialistidega (sekretärid, müügiesindajad, raamatupidamise keskastme spetsialistid) ning müüjate ja klienditeenindajate osas, kuid viimati nimetatute puhul on nõudlust alahinnatud (valdkonnas töötab palju noori, </w:t>
      </w:r>
      <w:proofErr w:type="spellStart"/>
      <w:r>
        <w:t>voolavus</w:t>
      </w:r>
      <w:proofErr w:type="spellEnd"/>
      <w:r>
        <w:t xml:space="preserve"> on suur) ning tööandjad tunnetavad tööjõupuudust.</w:t>
      </w:r>
      <w:r w:rsidR="00817DD5">
        <w:t xml:space="preserve"> Lisas esitatud näitajad on üldistatud, prognoos on detailsemal tasemel ning agregeeritud andmete taga võib olla väga erinevas olukorras olevaid ametialasid.</w:t>
      </w:r>
    </w:p>
    <w:p w14:paraId="2587A5E0" w14:textId="6A976F3C" w:rsidR="007E4148" w:rsidRDefault="007E4148" w:rsidP="007E4395">
      <w:pPr>
        <w:jc w:val="both"/>
      </w:pPr>
      <w:r w:rsidRPr="00851207">
        <w:t xml:space="preserve">Tegevusalade lõikes on suuremad puudujäägid </w:t>
      </w:r>
      <w:r w:rsidR="00851207" w:rsidRPr="00851207">
        <w:t xml:space="preserve">töötlevas tööstuses (metallitööstus, elektri- ja elektroonikatööstus, puidutööstus), </w:t>
      </w:r>
      <w:r w:rsidRPr="00851207">
        <w:t>infos ja sides</w:t>
      </w:r>
      <w:r w:rsidR="00851207" w:rsidRPr="00851207">
        <w:t xml:space="preserve"> (program</w:t>
      </w:r>
      <w:r w:rsidR="00392B48">
        <w:t>m</w:t>
      </w:r>
      <w:r w:rsidR="00851207" w:rsidRPr="00851207">
        <w:t>eerimises)</w:t>
      </w:r>
      <w:r w:rsidRPr="00851207">
        <w:t>, tervishoius,</w:t>
      </w:r>
      <w:r w:rsidR="00851207" w:rsidRPr="00851207">
        <w:t xml:space="preserve"> hariduses,</w:t>
      </w:r>
      <w:r w:rsidRPr="00851207">
        <w:t xml:space="preserve"> veonduses ja laonduses ja ehituses</w:t>
      </w:r>
      <w:r w:rsidR="00787228">
        <w:t xml:space="preserve"> (vt lisa 2 ja joonis 1)</w:t>
      </w:r>
      <w:r w:rsidRPr="00851207">
        <w:t xml:space="preserve">. Prognoosi kohaselt ületab pakkumine nõudlust aga </w:t>
      </w:r>
      <w:r w:rsidR="00851207" w:rsidRPr="00851207">
        <w:t>finants- ja kindlustustegevuses</w:t>
      </w:r>
      <w:r w:rsidRPr="00851207">
        <w:t xml:space="preserve">, kuid ka </w:t>
      </w:r>
      <w:r w:rsidR="00851207" w:rsidRPr="00851207">
        <w:t xml:space="preserve">hulgi- ja jaekaubanduses ning </w:t>
      </w:r>
      <w:r w:rsidRPr="00851207">
        <w:t>majutuses ja toitlustuses, kus aga tööandjad toovad välja raskusi tööjõu leidmisega, palju kasutatakse väljaõpet töökohal.</w:t>
      </w:r>
      <w:r>
        <w:t xml:space="preserve"> OSKA valdkondlike uuringute</w:t>
      </w:r>
      <w:r>
        <w:rPr>
          <w:rStyle w:val="Allmrkuseviide"/>
        </w:rPr>
        <w:footnoteReference w:id="7"/>
      </w:r>
      <w:r>
        <w:t xml:space="preserve"> tulemused on üldiselt olnud sarnased </w:t>
      </w:r>
      <w:proofErr w:type="spellStart"/>
      <w:r>
        <w:t>MKMi</w:t>
      </w:r>
      <w:proofErr w:type="spellEnd"/>
      <w:r>
        <w:t xml:space="preserve"> prognoosile – kõige rohkem ületab tööjõu nõudlus pakkumist IKT, tervishoiu, metsanduse ja puidutööstuse ning hariduse ja teaduse valdkonnas. Suurem pakkumise ülejääk on välja toodud arvestusalal, sotsiaaltöös, majutuses, toitlustuses ja turismis ning põllumajanduses ja toiduainetööstuses. Vaatamata statistilisele lõpetajate arvu piisavusele või ülejäägile on OSKA ekspertide hinnangul paljudel juhtudel tegemist turutõrkega, tööandjad tunnetavad siiski tööjõupuudust</w:t>
      </w:r>
      <w:r w:rsidR="00392B48">
        <w:rPr>
          <w:rStyle w:val="Allmrkuseviide"/>
        </w:rPr>
        <w:footnoteReference w:id="8"/>
      </w:r>
      <w:r>
        <w:t>.</w:t>
      </w:r>
    </w:p>
    <w:p w14:paraId="5FF35073" w14:textId="24B860EA" w:rsidR="007E4148" w:rsidRDefault="007E4148" w:rsidP="007E4395">
      <w:pPr>
        <w:jc w:val="both"/>
      </w:pPr>
      <w:r w:rsidRPr="00795438">
        <w:t>Õppekavarühmade lõikes on viimaste aastate kutse- ja kõrghariduse lõpetajate arv olnud väiksem kui järgnevate aastate vajadus tehnika</w:t>
      </w:r>
      <w:r w:rsidR="00851207" w:rsidRPr="00795438">
        <w:t>, arvutiteaduste</w:t>
      </w:r>
      <w:r w:rsidRPr="00795438">
        <w:t xml:space="preserve">, ehituse, </w:t>
      </w:r>
      <w:r w:rsidR="005A5490">
        <w:t xml:space="preserve">metsanduse ja kalanduse </w:t>
      </w:r>
      <w:r w:rsidRPr="00795438">
        <w:t xml:space="preserve">valdkonnas, samuti juhtimise ja halduse õppekavarühmas. Osaliselt on puudujääk tingitud sellest, et kõik lõpetajad ei lähe nö erialasele tööle. Teistes valdkondades on lõpetajate arv olnud üldiselt piisav prognoositud tööjõuvajaduse katmiseks. Arvestades aga lõpetajate arvu vähenemist ja nende tööle rakendumise määrasid, on problemaatilised </w:t>
      </w:r>
      <w:r>
        <w:t xml:space="preserve">peaaegu </w:t>
      </w:r>
      <w:r w:rsidRPr="00795438">
        <w:t xml:space="preserve">kõik </w:t>
      </w:r>
      <w:r w:rsidR="00C35D36">
        <w:t>õppe</w:t>
      </w:r>
      <w:r w:rsidRPr="00C35D36">
        <w:t>valdkonnad</w:t>
      </w:r>
      <w:r w:rsidR="00C35D36">
        <w:t xml:space="preserve"> või -suunad</w:t>
      </w:r>
      <w:r w:rsidRPr="00C35D36">
        <w:t xml:space="preserve"> peale teeninduse</w:t>
      </w:r>
      <w:r w:rsidR="00851207" w:rsidRPr="00C35D36">
        <w:t>,</w:t>
      </w:r>
      <w:r w:rsidRPr="00C35D36">
        <w:t xml:space="preserve"> kunstide</w:t>
      </w:r>
      <w:r w:rsidR="00851207" w:rsidRPr="00C35D36">
        <w:t>,</w:t>
      </w:r>
      <w:r w:rsidR="00851207">
        <w:t xml:space="preserve"> õiguse ja </w:t>
      </w:r>
      <w:proofErr w:type="spellStart"/>
      <w:r w:rsidR="00851207">
        <w:t>bioteaduste</w:t>
      </w:r>
      <w:proofErr w:type="spellEnd"/>
      <w:r w:rsidR="00C35D36">
        <w:t xml:space="preserve"> (detailsemal, õppekavarühmade tasemel võib olla erisusi)</w:t>
      </w:r>
      <w:r w:rsidRPr="00795438">
        <w:t>.</w:t>
      </w:r>
    </w:p>
    <w:p w14:paraId="7CC1C523" w14:textId="2339EC7D" w:rsidR="007E4148" w:rsidRDefault="007E4148" w:rsidP="007E4395">
      <w:pPr>
        <w:jc w:val="both"/>
      </w:pPr>
      <w:r>
        <w:t xml:space="preserve">Kokkuvõttes võib järgnevatel aastatel </w:t>
      </w:r>
      <w:r w:rsidRPr="00C35D36">
        <w:t xml:space="preserve">oodata tööjõu puudujäägi süvenemist, sest tööturult väljaliikumine suureneb, kuid tööturule sisenejate arv </w:t>
      </w:r>
      <w:r w:rsidR="00C35D36" w:rsidRPr="00C35D36">
        <w:t>hakkab</w:t>
      </w:r>
      <w:r w:rsidR="00C35D36">
        <w:t xml:space="preserve"> tõusma alles mõne aasta pärast</w:t>
      </w:r>
      <w:r>
        <w:t>. Suurema puudujäägiga ametialadena tulevad esmalt esile erinevad spetsialistid</w:t>
      </w:r>
      <w:r w:rsidR="00392B48">
        <w:t xml:space="preserve"> (IKT, loodus- ja inseneriteadused, tervishoid jt)</w:t>
      </w:r>
      <w:r>
        <w:t>, kuid probleeme on ka teistes valdkondades. Tegevusaladest on suurim tööjõu</w:t>
      </w:r>
      <w:r w:rsidR="00C35D36">
        <w:t xml:space="preserve"> </w:t>
      </w:r>
      <w:r>
        <w:t>puudujääk</w:t>
      </w:r>
      <w:r w:rsidR="00C35D36">
        <w:t xml:space="preserve"> töötlevas tööstuses,</w:t>
      </w:r>
      <w:r>
        <w:t xml:space="preserve"> </w:t>
      </w:r>
      <w:proofErr w:type="spellStart"/>
      <w:r>
        <w:t>IKTs</w:t>
      </w:r>
      <w:proofErr w:type="spellEnd"/>
      <w:r>
        <w:t xml:space="preserve"> </w:t>
      </w:r>
      <w:r w:rsidR="005F0CA0">
        <w:t xml:space="preserve">(trende võimendab </w:t>
      </w:r>
      <w:r w:rsidR="00E04144">
        <w:t xml:space="preserve">veel </w:t>
      </w:r>
      <w:r w:rsidR="005F0CA0">
        <w:t xml:space="preserve">digipööre) </w:t>
      </w:r>
      <w:r>
        <w:t>ja tervishoius. Kuigi mitmes valdkonnas on arvuliselt lõpetajaid piisavalt, siis erinevatel põhjustel on tööandjatel ikkagi raske töötajaid leida</w:t>
      </w:r>
      <w:r w:rsidR="006A5A41">
        <w:rPr>
          <w:rStyle w:val="Allmrkuseviide"/>
        </w:rPr>
        <w:footnoteReference w:id="9"/>
      </w:r>
      <w:r>
        <w:t>.</w:t>
      </w:r>
    </w:p>
    <w:p w14:paraId="06D3325A" w14:textId="46A018C5" w:rsidR="005A5490" w:rsidRPr="00DE0B4F" w:rsidRDefault="00CA767B" w:rsidP="007E4395">
      <w:pPr>
        <w:jc w:val="both"/>
        <w:rPr>
          <w:u w:val="single"/>
        </w:rPr>
      </w:pPr>
      <w:r>
        <w:rPr>
          <w:u w:val="single"/>
        </w:rPr>
        <w:lastRenderedPageBreak/>
        <w:t xml:space="preserve">Tööjõu puudujääk ja </w:t>
      </w:r>
      <w:proofErr w:type="spellStart"/>
      <w:r>
        <w:rPr>
          <w:u w:val="single"/>
        </w:rPr>
        <w:t>välistööjõud</w:t>
      </w:r>
      <w:proofErr w:type="spellEnd"/>
    </w:p>
    <w:p w14:paraId="6F3F67A8" w14:textId="42E75744" w:rsidR="005A5490" w:rsidRDefault="00047D5B" w:rsidP="007E4395">
      <w:pPr>
        <w:jc w:val="both"/>
      </w:pPr>
      <w:r>
        <w:t>Viimasel kahel aastal anti keskmiselt 3000 tähtajalist tööluba töötamiseks ja ettevõtluseks</w:t>
      </w:r>
      <w:r w:rsidR="005A5490">
        <w:t>.</w:t>
      </w:r>
      <w:r>
        <w:t xml:space="preserve"> Enamuse sellest moodustavad töötamiseks antud load. Piirarvu alla kuulub neist umbes 1100, ülejäänud umbes 1800 aastas on tulnud piirarvu väliselt. Lühiajalise töötamise registreerimisi oli kordades rohkem – 2019. aastal üle 3</w:t>
      </w:r>
      <w:r w:rsidR="002548D2">
        <w:t>2</w:t>
      </w:r>
      <w:r>
        <w:t> 000, 2020. aastal</w:t>
      </w:r>
      <w:r w:rsidR="002548D2">
        <w:t xml:space="preserve"> umbes 22 000.</w:t>
      </w:r>
    </w:p>
    <w:p w14:paraId="400B9668" w14:textId="6FB26E0B" w:rsidR="002548D2" w:rsidRDefault="00155D66" w:rsidP="007E4395">
      <w:pPr>
        <w:jc w:val="both"/>
      </w:pPr>
      <w:r>
        <w:t>Kaks kolmandikku lühiajalistest registreerimistest oli seotud kolme valdkonnaga</w:t>
      </w:r>
      <w:r w:rsidR="00896089">
        <w:t xml:space="preserve"> (vt joonis 1 ja lisa 2)</w:t>
      </w:r>
      <w:r>
        <w:t xml:space="preserve">: ehitus (üle kolmandiku registreerimistest), töötlev tööstus (ligi viiendik) ja põllumajandus (üle kümnendiku). Elamisload töötamiseks ja ettevõtluseks on veidi ühtlasemalt jaotunud, kuid ka siin annavad kolm tegevusala üle poole kõigist lubadest: töötlev tööstus (umbes veerand), info ja side (üle viiendiku) ja ehitus (kümnendik). Üsna palju on ka teadmata või puuduva tegevusalaga lubasid, rohkem kui iga kümnes. Võrreldes perioodiga 2017–I poolaasta 2018 on lühiajalise töötamise puhul struktuur jäänud suures osas samaks, veidi on tõusnud töötleva tööstuse ja vähenenud ehituse osatähtsus. Küll aga on elamislubade puhul kasvanud oluliselt </w:t>
      </w:r>
      <w:r w:rsidR="00E6189B">
        <w:t xml:space="preserve">(ligi kaks korda) </w:t>
      </w:r>
      <w:r>
        <w:t>info ja side sektori tähtsus</w:t>
      </w:r>
      <w:r w:rsidR="00E6189B">
        <w:t>, mõnevõrra on suhteliselt rohkem lubasid töötlevas tööstuses, ehituse osatähtsus on aga kukkunud kaks korda. Info ja side osatähtsuse</w:t>
      </w:r>
      <w:r w:rsidR="00E04144">
        <w:t xml:space="preserve"> kasvu</w:t>
      </w:r>
      <w:r w:rsidR="00E6189B">
        <w:t xml:space="preserve">le on kaasa aidanud võimalus </w:t>
      </w:r>
      <w:r w:rsidR="00787228">
        <w:t xml:space="preserve">palgata </w:t>
      </w:r>
      <w:r w:rsidR="00E6189B">
        <w:t>töötajaid piirarvu väliselt, piirarvu all väljastati 2019–2020 vaid üksikuid elamislube info ja side töötajatele.</w:t>
      </w:r>
    </w:p>
    <w:p w14:paraId="275A0A29" w14:textId="77777777" w:rsidR="00E04144" w:rsidRDefault="00E04144" w:rsidP="007E4395">
      <w:pPr>
        <w:jc w:val="both"/>
      </w:pPr>
      <w:proofErr w:type="spellStart"/>
      <w:r>
        <w:t>Välistööjõu</w:t>
      </w:r>
      <w:proofErr w:type="spellEnd"/>
      <w:r>
        <w:t xml:space="preserve"> ametlikku statistikat saab tööjõuprognoosiga kõrvutada pigem üldistatud tasemel. Tegevusalad on </w:t>
      </w:r>
      <w:proofErr w:type="spellStart"/>
      <w:r>
        <w:t>välistööjõu</w:t>
      </w:r>
      <w:proofErr w:type="spellEnd"/>
      <w:r>
        <w:t xml:space="preserve"> statistikas kajastatud tegevusala tähtkoodi tasemel (näiteks töötlev tööstus kokku). Kui töötlevas tööstuses tervikuna on </w:t>
      </w:r>
      <w:proofErr w:type="spellStart"/>
      <w:r>
        <w:t>MKMi</w:t>
      </w:r>
      <w:proofErr w:type="spellEnd"/>
      <w:r>
        <w:t xml:space="preserve"> prognoosis ette näha tööjõu puudujääki, siis selle taga on enam kui pooled tööstusharud</w:t>
      </w:r>
      <w:r>
        <w:rPr>
          <w:rStyle w:val="Allmrkuseviide"/>
        </w:rPr>
        <w:footnoteReference w:id="10"/>
      </w:r>
      <w:r>
        <w:t>, kuid teistes harudes, mis katavad umbes 30% töötleva tööstuse hõivest, ei ole puudujääki prognoositud. Ametialade puhul on lühiajalisel registreerimisel olemas andmed ka 2-kohalise ametiala koodi tasemel</w:t>
      </w:r>
      <w:r>
        <w:rPr>
          <w:rStyle w:val="Allmrkuseviide"/>
        </w:rPr>
        <w:footnoteReference w:id="11"/>
      </w:r>
      <w:r>
        <w:t>, samas prognoosi tulemused kajastavad hinnangut tööjõuvajaduse kaetusele veelgi detailsemalt, 4-kohalise ametiala koodi tasemel.</w:t>
      </w:r>
    </w:p>
    <w:p w14:paraId="444489A8" w14:textId="77777777" w:rsidR="00E04144" w:rsidRDefault="00E04144" w:rsidP="007E4395">
      <w:pPr>
        <w:jc w:val="both"/>
      </w:pPr>
      <w:r>
        <w:t>Üle 80% lühiajalise töötamise registreerimistest oli 2019</w:t>
      </w:r>
      <w:r>
        <w:softHyphen/>
        <w:t xml:space="preserve">–2020 tegevusaladel, kus prognoosi järgi oli oodata tööjõu puudujääki. OSKA hinnangute põhjal olid praktiliselt kõik lühiajalise töötamise juhud puudujäägiga valdkondades. Muutes puudujäägi kriteeriumit rangemaks (puudujääk üle 10% või 20% tööjõuvajadusest), siis </w:t>
      </w:r>
      <w:proofErr w:type="spellStart"/>
      <w:r>
        <w:t>MKMi</w:t>
      </w:r>
      <w:proofErr w:type="spellEnd"/>
      <w:r>
        <w:t xml:space="preserve"> andmetel puudujäägiga tegevusalade kaetus oluliselt ei vähene, küll aga OSKA hinnangute korral – enam kui 20%lise suhtelise tööjõupuudujäägiga tegevusaladel registreeriti üle 70% lühiajalistest töötamistest.</w:t>
      </w:r>
    </w:p>
    <w:p w14:paraId="7DE3CDC5" w14:textId="4E2D0ECD" w:rsidR="00E04144" w:rsidRDefault="00E04144" w:rsidP="007E4395">
      <w:pPr>
        <w:jc w:val="both"/>
      </w:pPr>
      <w:r>
        <w:t xml:space="preserve">Töötamiseks ja ettevõtluseks antud elamislubadest olid puudujäägiga tegevusaladel </w:t>
      </w:r>
      <w:proofErr w:type="spellStart"/>
      <w:r>
        <w:t>MKMi</w:t>
      </w:r>
      <w:proofErr w:type="spellEnd"/>
      <w:r>
        <w:t xml:space="preserve"> prognoosi hinnangul üle 2/3 lubadest, OSKA hinnangutel enam kui 85%. Samas 8–9% lubadest olid teadmata või märkimata tegevusalad, millele ei olnud võimalik anda tööjõu üle- või puudujäägi hinnangut. Üle 20%lise puudujäägiga tegevusaladel oli antud lube nii </w:t>
      </w:r>
      <w:proofErr w:type="spellStart"/>
      <w:r>
        <w:t>MKMi</w:t>
      </w:r>
      <w:proofErr w:type="spellEnd"/>
      <w:r>
        <w:t xml:space="preserve"> kui ka OSKA hinnangul umbes 2/3 (üle 70% juhtudest, kus tegevusala oli teada).</w:t>
      </w:r>
    </w:p>
    <w:p w14:paraId="5EAB866B" w14:textId="065DF501" w:rsidR="00833A9E" w:rsidRDefault="00931388" w:rsidP="007E4395">
      <w:pPr>
        <w:jc w:val="both"/>
      </w:pPr>
      <w:r>
        <w:rPr>
          <w:noProof/>
        </w:rPr>
        <w:lastRenderedPageBreak/>
        <mc:AlternateContent>
          <mc:Choice Requires="wps">
            <w:drawing>
              <wp:anchor distT="0" distB="0" distL="114300" distR="114300" simplePos="0" relativeHeight="251662336" behindDoc="0" locked="0" layoutInCell="1" allowOverlap="1" wp14:anchorId="001AEE95" wp14:editId="1191184D">
                <wp:simplePos x="0" y="0"/>
                <wp:positionH relativeFrom="column">
                  <wp:posOffset>3938905</wp:posOffset>
                </wp:positionH>
                <wp:positionV relativeFrom="paragraph">
                  <wp:posOffset>601345</wp:posOffset>
                </wp:positionV>
                <wp:extent cx="323850" cy="0"/>
                <wp:effectExtent l="0" t="95250" r="0" b="95250"/>
                <wp:wrapNone/>
                <wp:docPr id="6" name="Sirge noolkonnektor 6"/>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617486" id="_x0000_t32" coordsize="21600,21600" o:spt="32" o:oned="t" path="m,l21600,21600e" filled="f">
                <v:path arrowok="t" fillok="f" o:connecttype="none"/>
                <o:lock v:ext="edit" shapetype="t"/>
              </v:shapetype>
              <v:shape id="Sirge noolkonnektor 6" o:spid="_x0000_s1026" type="#_x0000_t32" style="position:absolute;margin-left:310.15pt;margin-top:47.35pt;width:25.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" strokecolor="red" strokeweight="3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3440C3C8" wp14:editId="7982AF82">
                <wp:simplePos x="0" y="0"/>
                <wp:positionH relativeFrom="column">
                  <wp:posOffset>5343525</wp:posOffset>
                </wp:positionH>
                <wp:positionV relativeFrom="paragraph">
                  <wp:posOffset>1773555</wp:posOffset>
                </wp:positionV>
                <wp:extent cx="323850" cy="0"/>
                <wp:effectExtent l="0" t="95250" r="0" b="95250"/>
                <wp:wrapNone/>
                <wp:docPr id="7" name="Sirge noolkonnektor 7"/>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B9518D" id="Sirge noolkonnektor 7" o:spid="_x0000_s1026" type="#_x0000_t32" style="position:absolute;margin-left:420.75pt;margin-top:139.65pt;width:25.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" strokecolor="red" strokeweight="3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7A515481" wp14:editId="3191172A">
                <wp:simplePos x="0" y="0"/>
                <wp:positionH relativeFrom="column">
                  <wp:posOffset>4010025</wp:posOffset>
                </wp:positionH>
                <wp:positionV relativeFrom="paragraph">
                  <wp:posOffset>2882265</wp:posOffset>
                </wp:positionV>
                <wp:extent cx="323850" cy="0"/>
                <wp:effectExtent l="0" t="95250" r="0" b="95250"/>
                <wp:wrapNone/>
                <wp:docPr id="5" name="Sirge noolkonnektor 5"/>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94588" id="Sirge noolkonnektor 5" o:spid="_x0000_s1026" type="#_x0000_t32" style="position:absolute;margin-left:315.75pt;margin-top:226.95pt;width:25.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" strokecolor="red" strokeweight="3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32FF776C" wp14:editId="25AC5F09">
                <wp:simplePos x="0" y="0"/>
                <wp:positionH relativeFrom="column">
                  <wp:posOffset>3681730</wp:posOffset>
                </wp:positionH>
                <wp:positionV relativeFrom="paragraph">
                  <wp:posOffset>5503545</wp:posOffset>
                </wp:positionV>
                <wp:extent cx="323850" cy="0"/>
                <wp:effectExtent l="0" t="95250" r="0" b="95250"/>
                <wp:wrapNone/>
                <wp:docPr id="3" name="Sirge noolkonnektor 3"/>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869F9A" id="Sirge noolkonnektor 3" o:spid="_x0000_s1026" type="#_x0000_t32" style="position:absolute;margin-left:289.9pt;margin-top:433.35pt;width:25.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" strokecolor="red" strokeweight="3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314D6AFE" wp14:editId="02290BF8">
                <wp:simplePos x="0" y="0"/>
                <wp:positionH relativeFrom="column">
                  <wp:posOffset>3615055</wp:posOffset>
                </wp:positionH>
                <wp:positionV relativeFrom="paragraph">
                  <wp:posOffset>5563870</wp:posOffset>
                </wp:positionV>
                <wp:extent cx="323850" cy="0"/>
                <wp:effectExtent l="0" t="95250" r="0" b="95250"/>
                <wp:wrapNone/>
                <wp:docPr id="4" name="Sirge noolkonnektor 4"/>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BC2686" id="Sirge noolkonnektor 4" o:spid="_x0000_s1026" type="#_x0000_t32" style="position:absolute;margin-left:284.65pt;margin-top:438.1pt;width:25.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" strokecolor="red" strokeweight="3pt">
                <v:stroke endarrow="block" joinstyle="miter"/>
              </v:shape>
            </w:pict>
          </mc:Fallback>
        </mc:AlternateContent>
      </w:r>
      <w:r w:rsidR="00833A9E">
        <w:rPr>
          <w:noProof/>
        </w:rPr>
        <w:drawing>
          <wp:inline distT="0" distB="0" distL="0" distR="0" wp14:anchorId="5D17FAFD" wp14:editId="50576CC2">
            <wp:extent cx="5486400" cy="7153275"/>
            <wp:effectExtent l="0" t="0" r="0" b="952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550ACBB" w14:textId="11B048CA" w:rsidR="00833A9E" w:rsidRDefault="00833A9E" w:rsidP="007E4395">
      <w:pPr>
        <w:jc w:val="both"/>
      </w:pPr>
      <w:r>
        <w:t xml:space="preserve">Joonis 1. Tööhõive, tööjõu puudujäägi hinnang ja kolmandate riikide </w:t>
      </w:r>
      <w:proofErr w:type="spellStart"/>
      <w:r>
        <w:t>välistööjõu</w:t>
      </w:r>
      <w:proofErr w:type="spellEnd"/>
      <w:r>
        <w:t xml:space="preserve"> kasutamine. Noolega tähtistatud juhtudel on </w:t>
      </w:r>
      <w:proofErr w:type="spellStart"/>
      <w:r>
        <w:t>välistööjõu</w:t>
      </w:r>
      <w:proofErr w:type="spellEnd"/>
      <w:r>
        <w:t xml:space="preserve"> kasutamine sektoris hõivatute </w:t>
      </w:r>
      <w:r w:rsidR="00787228">
        <w:t>osatähtsusega võrreldes</w:t>
      </w:r>
      <w:r>
        <w:t xml:space="preserve"> oluliselt suurem. Allikas: Statistikaamet, MKM, OSKA, Politsei- ja Piirivalveamet</w:t>
      </w:r>
      <w:r w:rsidR="00787228">
        <w:t>.</w:t>
      </w:r>
    </w:p>
    <w:p w14:paraId="7AF7E4AD" w14:textId="388CF851" w:rsidR="00711684" w:rsidRDefault="00711684" w:rsidP="007E4395">
      <w:pPr>
        <w:jc w:val="both"/>
      </w:pPr>
      <w:r>
        <w:t xml:space="preserve">Kuna </w:t>
      </w:r>
      <w:proofErr w:type="spellStart"/>
      <w:r>
        <w:t>välistööjõu</w:t>
      </w:r>
      <w:proofErr w:type="spellEnd"/>
      <w:r>
        <w:t xml:space="preserve"> statistika on üsna agregeeritud, siis antud tulemustesse tuleb suhtuda ettevaatlikult. Mõnevõrra täpsema hinnangu saab anda ametialade lõikes, kuid seda vaid lühiajalise töötamise puhul.</w:t>
      </w:r>
      <w:r w:rsidR="00E942C6">
        <w:t xml:space="preserve"> Ka siin on andmeprobleeme, kuna ei olnud võimalik kõiki registreerimisi konkreetse ametialaga kokku </w:t>
      </w:r>
      <w:r w:rsidR="00E942C6">
        <w:lastRenderedPageBreak/>
        <w:t>viia. Probleem oli eelkõige 2019. aasta andmetega, kus vasteta jäi 10 000 registreerimist ehk iga kolmas</w:t>
      </w:r>
      <w:r w:rsidR="00E942C6">
        <w:rPr>
          <w:rStyle w:val="Allmrkuseviide"/>
        </w:rPr>
        <w:footnoteReference w:id="12"/>
      </w:r>
      <w:r w:rsidR="00E942C6">
        <w:t>.</w:t>
      </w:r>
    </w:p>
    <w:p w14:paraId="131F1EA2" w14:textId="711C27A2" w:rsidR="0093517C" w:rsidRDefault="0093517C" w:rsidP="007E4395">
      <w:pPr>
        <w:jc w:val="both"/>
      </w:pPr>
      <w:r>
        <w:t xml:space="preserve">Ametialade lõikes näitab võrdlus </w:t>
      </w:r>
      <w:proofErr w:type="spellStart"/>
      <w:r>
        <w:t>MKMi</w:t>
      </w:r>
      <w:proofErr w:type="spellEnd"/>
      <w:r>
        <w:t xml:space="preserve"> prognoosiga, et iga viienda (</w:t>
      </w:r>
      <w:r w:rsidR="00B52CA6">
        <w:t>klassifikaatoriga vastavusse viidava</w:t>
      </w:r>
      <w:r>
        <w:t xml:space="preserve"> ametialaga) lühiajalise </w:t>
      </w:r>
      <w:r w:rsidR="00296233">
        <w:t xml:space="preserve">töötamise </w:t>
      </w:r>
      <w:r>
        <w:t>registreeringu puhul oli tuvastatud tööjõu puudujääk, seda ka juhul, kui puudujääk ületas vähemalt 20% tööjõuvajadusest.</w:t>
      </w:r>
      <w:r w:rsidR="00CF4067">
        <w:t xml:space="preserve"> OSKA hinnangul on aga 70</w:t>
      </w:r>
      <w:r w:rsidR="003F4D40">
        <w:t>–</w:t>
      </w:r>
      <w:r w:rsidR="00CF4067">
        <w:t xml:space="preserve">80% registreerimistest puudujäägiga ametialadel, </w:t>
      </w:r>
      <w:r w:rsidR="00B52CA6">
        <w:t>suurema kui</w:t>
      </w:r>
      <w:r w:rsidR="00CF4067">
        <w:t xml:space="preserve"> 20% suhtelise puudujäägiga ametialad moodustavad umbes 50</w:t>
      </w:r>
      <w:r w:rsidR="00896089">
        <w:t>–</w:t>
      </w:r>
      <w:r w:rsidR="00CF4067">
        <w:t xml:space="preserve">60% lühiajalise töötamise registreerimistest, kus on selge, millise ametialaga on tegemist. </w:t>
      </w:r>
      <w:r w:rsidR="003F4D40">
        <w:t>Töötukassa tööjõubaromeetrite hinnangud perioodist aprill 2017</w:t>
      </w:r>
      <w:r w:rsidR="003F4D40">
        <w:softHyphen/>
        <w:t>–oktoober 2019 aga viitavad tööjõupuudujäägile sisuliselt kõigis ametiala gruppides, rangema kriteeriumi korral oli 80–90% lühiajalistest töötamise registreeringutest puudujäägiga valdkondades</w:t>
      </w:r>
      <w:r w:rsidR="003F4D40">
        <w:rPr>
          <w:rStyle w:val="Allmrkuseviide"/>
        </w:rPr>
        <w:footnoteReference w:id="13"/>
      </w:r>
      <w:r w:rsidR="003F4D40">
        <w:t xml:space="preserve">. </w:t>
      </w:r>
      <w:r w:rsidR="00CF4067">
        <w:t>Need tulemused on üsna erinevad tegevusala põhisest, mis näitab taas, et agregeeritud andmete puhul on raskem anda hinnangut, milline on vastavus tööturu vajadustele.</w:t>
      </w:r>
    </w:p>
    <w:p w14:paraId="531F4A45" w14:textId="323D0719" w:rsidR="00B52CA6" w:rsidRPr="00B52CA6" w:rsidRDefault="00B52CA6" w:rsidP="007E4395">
      <w:pPr>
        <w:jc w:val="both"/>
        <w:rPr>
          <w:u w:val="single"/>
        </w:rPr>
      </w:pPr>
      <w:proofErr w:type="spellStart"/>
      <w:r w:rsidRPr="00B52CA6">
        <w:rPr>
          <w:u w:val="single"/>
        </w:rPr>
        <w:t>Välistööjõud</w:t>
      </w:r>
      <w:proofErr w:type="spellEnd"/>
      <w:r w:rsidRPr="00B52CA6">
        <w:rPr>
          <w:u w:val="single"/>
        </w:rPr>
        <w:t xml:space="preserve"> ja palgad</w:t>
      </w:r>
    </w:p>
    <w:p w14:paraId="6A460DF7" w14:textId="3FBE9D81" w:rsidR="00B52CA6" w:rsidRDefault="00B52CA6" w:rsidP="007E4395">
      <w:pPr>
        <w:jc w:val="both"/>
      </w:pPr>
      <w:r>
        <w:t>Tööturu nõudlust iseloomustavad ka palgad – suurema puudujäägiga valdkondades ollakse üldjuhul valmis maksma kõrgemat palga ning palgad peaksid neis valdkondades kasvama keskmisest kiiremini. Lisaks mõjutavad palga kujunemist ka teised tegurid, näiteks töökohal esitatavad nõudmised oskustele ja teadmistele, töö keerukus jmt.</w:t>
      </w:r>
    </w:p>
    <w:p w14:paraId="3DFB0778" w14:textId="78A1ECE3" w:rsidR="005D37EF" w:rsidRDefault="00173465" w:rsidP="007E4395">
      <w:pPr>
        <w:jc w:val="both"/>
      </w:pPr>
      <w:r>
        <w:t xml:space="preserve">Välismaalaste seaduse kohaselt tuleb välismaalasele maksta üldjuhul töötasu, mille suurus on vähemalt võrdne viimati avaldatud Eesti aasta keskmise brutokuupalgaga. Teatud juhtudel </w:t>
      </w:r>
      <w:r w:rsidR="003F4D40">
        <w:t xml:space="preserve">ei ole kehtestatud </w:t>
      </w:r>
      <w:r>
        <w:t xml:space="preserve">palgakriteeriumit või siis on nõuded </w:t>
      </w:r>
      <w:r w:rsidR="003F4D40">
        <w:t xml:space="preserve">hoopis </w:t>
      </w:r>
      <w:r>
        <w:t>rangemad (näiteks tippspetsialistidel 2-kordne keskmise palga nõue).</w:t>
      </w:r>
    </w:p>
    <w:p w14:paraId="48ECB76D" w14:textId="77777777" w:rsidR="00296233" w:rsidRDefault="00296233" w:rsidP="007E4395">
      <w:pPr>
        <w:jc w:val="both"/>
      </w:pPr>
      <w:r>
        <w:t>Aasta palgastatistika avaldatakse järgneva aasta märtsis. Analüüsis võrreldakse välismaalastele makstud töötasu eelneva aasta keskmiste näitajatega, praktikas võib osaliselt kohalduda ka kahe aasta taguse keskmise palga nõue.</w:t>
      </w:r>
    </w:p>
    <w:p w14:paraId="3C45B407" w14:textId="4E2D261C" w:rsidR="00296233" w:rsidRDefault="00296233" w:rsidP="007E4395">
      <w:pPr>
        <w:jc w:val="both"/>
      </w:pPr>
      <w:r>
        <w:t>Tähtajalise elamisloa ettevõtluseks saanud välismaalaste töötasu oli 2019–2020 üldiselt madalam kui töötamiseks antud lubade puhul ning mitmel tegevusalal jäi see alla Eesti ja haru keskmisele. Samas pole ettevõtluse puhul konkreetset palgakriteeriumi ning töötasu statistika katab vaid mõnikümmend inimest, kellele anti või pikendati tähtajalist elamisluba ettevõtluseks.</w:t>
      </w:r>
    </w:p>
    <w:p w14:paraId="0BA0D312" w14:textId="77777777" w:rsidR="00296233" w:rsidRDefault="00296233" w:rsidP="007E4395">
      <w:pPr>
        <w:jc w:val="both"/>
      </w:pPr>
      <w:r>
        <w:t xml:space="preserve">Töötamiseks antud tähtajaliste elamislubade saajate (lubade andmised ja pikendamised) töötasu on enamikel tegevusaladel ületanud oluliselt nii riigi kui tegevusala keskmist palka (vt joonis 2). Piiri peal või alla selle on töötasu olnud võrdluses nii Eesti kui ka haru keskmisega ehituses ning veonduses ja laonduses. Eesti keskmise lähedal või alla selle, kuid haru keskmisest palgast kõrgem on välismaalastele makstud keskmine töötasu olnud majutuses ja toitlustuses, põllumajanduses ning kunsti, meelelahutuse ja vaba aja tegevusalal. Seega võib öelda, et enamikes tegevusharudes on </w:t>
      </w:r>
      <w:proofErr w:type="spellStart"/>
      <w:r>
        <w:t>välistööjõu</w:t>
      </w:r>
      <w:proofErr w:type="spellEnd"/>
      <w:r>
        <w:t xml:space="preserve"> vajadus nii suur, et ollakse valmis maksma turu keskmisest kõrgemat palka. Samas peab ka siin silmas pidama, et tegevusala sees on ametialade lõikes palkades üsna suured erinevused ja tõenäoliselt palgatakse välismaalasi rohkem kõrgemat kvalifikatsiooni eeldavatele ametikohtadele. 2020. aasta andmetel on piirarvu alla kuuluvate elamislubade saajate palgad olnud oluliselt madalamad kui </w:t>
      </w:r>
      <w:r>
        <w:lastRenderedPageBreak/>
        <w:t xml:space="preserve">piirarvu välistel, mis osaliselt tuleneb erinevatest tegevusalade jaotusest (piirarvu alla kuuluvate seas on rohkem haldus- ja abitegevuste, töötleva tööstuse ning ehituse tegevusala töötajaid, piirarvu välistel on esikohal info ja side), kuid ka tegevusalade lõikes ületavad enamikel juhtudel piirarvu väliste töötajate keskmised palgad piirarvu alla kuuluvate omi. </w:t>
      </w:r>
    </w:p>
    <w:p w14:paraId="7AE83BA5" w14:textId="1E828307" w:rsidR="005D1580" w:rsidRDefault="005D1580" w:rsidP="007E4395">
      <w:pPr>
        <w:jc w:val="both"/>
      </w:pPr>
      <w:r>
        <w:rPr>
          <w:noProof/>
        </w:rPr>
        <w:drawing>
          <wp:inline distT="0" distB="0" distL="0" distR="0" wp14:anchorId="0FE964E2" wp14:editId="40595349">
            <wp:extent cx="5486400" cy="6648450"/>
            <wp:effectExtent l="0" t="0" r="0" b="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4517E9" w14:textId="5FA1E18B" w:rsidR="005D1580" w:rsidRDefault="005D1580" w:rsidP="007E4395">
      <w:pPr>
        <w:jc w:val="both"/>
      </w:pPr>
      <w:r>
        <w:t>Joonis 2.</w:t>
      </w:r>
      <w:r w:rsidR="005D37EF">
        <w:t xml:space="preserve"> Tähtajaliste elamislubadega töötamiseks isikute keskmine töötasu ja Eesti keskmised palgad tegevusalade lõikes</w:t>
      </w:r>
      <w:r>
        <w:t xml:space="preserve">. </w:t>
      </w:r>
      <w:r w:rsidR="005D37EF">
        <w:t xml:space="preserve">Noolega on märgitud tegevusalad, kus töötasu on Eesti keskmise piiril või alla selle. </w:t>
      </w:r>
      <w:r>
        <w:t>Allikas: Statistikaamet, Politsei- ja Piirivalveamet, EMTA.</w:t>
      </w:r>
    </w:p>
    <w:p w14:paraId="6CF9C8BF" w14:textId="77777777" w:rsidR="00296233" w:rsidRDefault="00296233" w:rsidP="007E4395">
      <w:pPr>
        <w:jc w:val="both"/>
        <w:rPr>
          <w:u w:val="single"/>
        </w:rPr>
      </w:pPr>
    </w:p>
    <w:p w14:paraId="4A938ADF" w14:textId="2610C8F3" w:rsidR="00FA2FC3" w:rsidRPr="00896089" w:rsidRDefault="00896089" w:rsidP="007E4395">
      <w:pPr>
        <w:jc w:val="both"/>
        <w:rPr>
          <w:u w:val="single"/>
        </w:rPr>
      </w:pPr>
      <w:r w:rsidRPr="00896089">
        <w:rPr>
          <w:u w:val="single"/>
        </w:rPr>
        <w:t>Kokkuvõte</w:t>
      </w:r>
    </w:p>
    <w:p w14:paraId="50498E16" w14:textId="6F0FECA6" w:rsidR="00896089" w:rsidRDefault="00B8141B" w:rsidP="007E4395">
      <w:pPr>
        <w:jc w:val="both"/>
      </w:pPr>
      <w:r>
        <w:lastRenderedPageBreak/>
        <w:t xml:space="preserve">Kolmandate riikide </w:t>
      </w:r>
      <w:proofErr w:type="spellStart"/>
      <w:r>
        <w:t>välistööjõu</w:t>
      </w:r>
      <w:proofErr w:type="spellEnd"/>
      <w:r>
        <w:t xml:space="preserve"> kasutamine läheb suures osas kokku valdkondadega, kus MKM ja OSKA on hinnanud, et esineb tööjõu puudujääk. Umbes kaks kolmandikku perioodil 2019–2020 väljastatud elamislubadest töötamiseks ja ettevõtluseks oli tegevusaladel, kus tööjõu suhteline puudujääk ületas 20% vajadusest või oli OSKA indikaatori väärtus sellest suurem. Kuna osade lubade puhul polnud tööandja tegevusala teada, siis neid mitte arvestades oli kattuvus üle 70%. Lühiajalise töötamise registreerimiste puhul oli puudujäägiga tegevusalasid hõlmatud veelgi rohkem, 70–80%. Samas antud võrdlus tõenäoliselt ülehindab tegelikku kattuvust, sest </w:t>
      </w:r>
      <w:proofErr w:type="spellStart"/>
      <w:r>
        <w:t>välistööjõu</w:t>
      </w:r>
      <w:proofErr w:type="spellEnd"/>
      <w:r>
        <w:t xml:space="preserve"> statistika on esitatud üsna agregeeritud kujul ning detailsemate andmete puhul ei oleks vastavus tööjõu puudujäägile enam nii kõrge. Sellele viitab ka ametialade põhine võrdlus töötamise lühiajaliste registreerimistega, kus </w:t>
      </w:r>
      <w:proofErr w:type="spellStart"/>
      <w:r w:rsidR="007112CA">
        <w:t>MKMi</w:t>
      </w:r>
      <w:proofErr w:type="spellEnd"/>
      <w:r w:rsidR="007112CA">
        <w:t xml:space="preserve"> prognoosi põhjal oli tööjõu puudujäägiga ametialadel registreerimisi vaid viiendikul juhtudel (kus ametiala oli üheselt defineeritav), OSKA hinnangul 50–80% (sõltuvalt puudujäägi kriteeriumi rangusest).</w:t>
      </w:r>
      <w:r w:rsidR="00640479">
        <w:t xml:space="preserve"> Ka ametialade puhul on tööjõu puudujäägi hinnangud olemas detailsemal tasemel kui antud võrdluses kasutati ehk teoorias oleks võimalik võrrelda välismaalaste töötamise vastavust tööjõu nõudlusele ja pakkumisele ka täpsemates lõigetes, praktikas võib see osutuda aga andmekvaliteedi tõttu keeruliseks.</w:t>
      </w:r>
    </w:p>
    <w:p w14:paraId="50F68E7F" w14:textId="6CC5202E" w:rsidR="00640479" w:rsidRDefault="00640479" w:rsidP="007E4395">
      <w:pPr>
        <w:jc w:val="both"/>
      </w:pPr>
      <w:r>
        <w:t xml:space="preserve">Elamisloaga töötajatele makstav töötasu ületab üldiselt nii haru kui ka Eesti keskmist palka olulisel määral, mis viitab sellele, et tööandjatel on </w:t>
      </w:r>
      <w:r w:rsidR="00661A80">
        <w:t>sobivaid</w:t>
      </w:r>
      <w:r>
        <w:t xml:space="preserve"> töötajaid raske Eestist leida. Samas on ka valdkondi, kus töötasu</w:t>
      </w:r>
      <w:r w:rsidR="00661A80">
        <w:t xml:space="preserve"> suuruse</w:t>
      </w:r>
      <w:r>
        <w:t xml:space="preserve"> paistab määravat pigem seaduses nõutud lävend, näiteks ehituses, majutuses ja toitlustuses ning veonduses ja laonduses. Seaduse kohaselt ei peagi tööandjad alati Eesti keskmist palka maksma ning mitmetes harudes </w:t>
      </w:r>
      <w:r w:rsidR="00241CBA">
        <w:t xml:space="preserve">ongi palgatase madalam, kuid võib arvata, et kõrgema palga korral oleks võimalik teatud juhtudel leida ka töötajaid Eestist või siis Eestist välismaale tööle läinute seast. </w:t>
      </w:r>
      <w:r w:rsidR="00661A80">
        <w:t>K</w:t>
      </w:r>
      <w:r w:rsidR="00241CBA">
        <w:t>a siin tuleb arvestada, et analüüs on tehtud üsna üldistatud tasemel (tegevusala tähtkood), mistõttu välismaala</w:t>
      </w:r>
      <w:r w:rsidR="00661A80">
        <w:t>s</w:t>
      </w:r>
      <w:r w:rsidR="00241CBA">
        <w:t>tele makstavad palgad võivad mitmetes tegevusharudes olla nö kaldu kõrgemat kvalifikatsiooni eeldavate ametikohtade suunas.</w:t>
      </w:r>
    </w:p>
    <w:p w14:paraId="1A381139" w14:textId="22592E9A" w:rsidR="00241CBA" w:rsidRDefault="00241CBA" w:rsidP="007E4395">
      <w:pPr>
        <w:jc w:val="both"/>
      </w:pPr>
      <w:r>
        <w:t xml:space="preserve">Kokkuvõttes võib öelda, et kolmandate riikide tööjõu kasutamine on suures osas põhjendatud nii tuginedes tööjõuvajaduse- ja pakkumise analüüsile kui ka valmidusele maksta </w:t>
      </w:r>
      <w:proofErr w:type="spellStart"/>
      <w:r>
        <w:t>välistööjõule</w:t>
      </w:r>
      <w:proofErr w:type="spellEnd"/>
      <w:r>
        <w:t xml:space="preserve"> kõrgemat palka. Mõningates valdkondades võivad ettevõtjad olla aga sundseisus, sest Eesti elanikud ei ole enam valmis tegema näiteks rutiinseid ja füüsiliselt raskemaid töid või</w:t>
      </w:r>
      <w:r w:rsidR="00661A80">
        <w:t xml:space="preserve"> on</w:t>
      </w:r>
      <w:r>
        <w:t xml:space="preserve"> nõus seda tegema tunduvalt kõrgema palga ja täiendavate hüvede eest (välismaal), samas ettevõtjad ei ole suutelised (veel) neid tingimusi täitma.</w:t>
      </w:r>
    </w:p>
    <w:p w14:paraId="63BB5C6F" w14:textId="574F020D" w:rsidR="00F36D3F" w:rsidRDefault="00F36D3F" w:rsidP="007E4395">
      <w:pPr>
        <w:jc w:val="both"/>
      </w:pPr>
    </w:p>
    <w:p w14:paraId="4F525EEF" w14:textId="77777777" w:rsidR="00296233" w:rsidRDefault="00296233" w:rsidP="007E4395">
      <w:pPr>
        <w:jc w:val="both"/>
        <w:rPr>
          <w:b/>
        </w:rPr>
      </w:pPr>
      <w:r>
        <w:rPr>
          <w:b/>
        </w:rPr>
        <w:br w:type="page"/>
      </w:r>
    </w:p>
    <w:p w14:paraId="66D25A2A" w14:textId="1F81BD92" w:rsidR="00F36D3F" w:rsidRPr="00C061DB" w:rsidRDefault="00F36D3F" w:rsidP="007E4395">
      <w:pPr>
        <w:jc w:val="both"/>
        <w:rPr>
          <w:b/>
        </w:rPr>
      </w:pPr>
      <w:r w:rsidRPr="00C061DB">
        <w:rPr>
          <w:b/>
        </w:rPr>
        <w:lastRenderedPageBreak/>
        <w:t>Lisa</w:t>
      </w:r>
      <w:r w:rsidR="00241CBA">
        <w:rPr>
          <w:b/>
        </w:rPr>
        <w:t>d</w:t>
      </w:r>
    </w:p>
    <w:p w14:paraId="2ED9DEF7" w14:textId="1BCC0472" w:rsidR="00F36D3F" w:rsidRPr="00C061DB" w:rsidRDefault="00F36D3F" w:rsidP="007E4395">
      <w:pPr>
        <w:jc w:val="both"/>
        <w:rPr>
          <w:b/>
        </w:rPr>
      </w:pPr>
      <w:r w:rsidRPr="00510387">
        <w:rPr>
          <w:b/>
        </w:rPr>
        <w:t>Lisa 1</w:t>
      </w:r>
      <w:r>
        <w:t xml:space="preserve">. Suurima hinnangulise puudu- ja ülejäägiga ametialad </w:t>
      </w:r>
      <w:r w:rsidR="00B94F54">
        <w:t>2017/2019</w:t>
      </w:r>
      <w:r w:rsidR="00B94F54">
        <w:softHyphen/>
        <w:t xml:space="preserve">–2028 </w:t>
      </w:r>
      <w:r>
        <w:t>(noored kutse- ja kõrghariduse lõpetajad, prognoositud langus, tööturul aktiivsed vs vajadus kutse- ja kõrgharidusega töötjate järele)</w:t>
      </w:r>
    </w:p>
    <w:tbl>
      <w:tblPr>
        <w:tblW w:w="9062" w:type="dxa"/>
        <w:tblCellMar>
          <w:left w:w="70" w:type="dxa"/>
          <w:right w:w="70" w:type="dxa"/>
        </w:tblCellMar>
        <w:tblLook w:val="04A0" w:firstRow="1" w:lastRow="0" w:firstColumn="1" w:lastColumn="0" w:noHBand="0" w:noVBand="1"/>
      </w:tblPr>
      <w:tblGrid>
        <w:gridCol w:w="422"/>
        <w:gridCol w:w="712"/>
        <w:gridCol w:w="5278"/>
        <w:gridCol w:w="1394"/>
        <w:gridCol w:w="1256"/>
      </w:tblGrid>
      <w:tr w:rsidR="00F36D3F" w:rsidRPr="003962B3" w14:paraId="6BF5CA4F" w14:textId="77777777" w:rsidTr="00D31021">
        <w:trPr>
          <w:trHeight w:val="1800"/>
        </w:trPr>
        <w:tc>
          <w:tcPr>
            <w:tcW w:w="422" w:type="dxa"/>
            <w:tcBorders>
              <w:top w:val="single" w:sz="4" w:space="0" w:color="auto"/>
              <w:left w:val="single" w:sz="4" w:space="0" w:color="auto"/>
              <w:bottom w:val="single" w:sz="4" w:space="0" w:color="auto"/>
              <w:right w:val="single" w:sz="4" w:space="0" w:color="auto"/>
            </w:tcBorders>
          </w:tcPr>
          <w:p w14:paraId="774B7E2C" w14:textId="77777777" w:rsidR="00F36D3F" w:rsidRPr="003962B3" w:rsidRDefault="00F36D3F" w:rsidP="007E4395">
            <w:pPr>
              <w:spacing w:after="0" w:line="240" w:lineRule="auto"/>
              <w:jc w:val="both"/>
              <w:rPr>
                <w:rFonts w:ascii="Calibri" w:eastAsia="Times New Roman" w:hAnsi="Calibri" w:cs="Calibri"/>
                <w:color w:val="000000"/>
                <w:lang w:eastAsia="et-EE"/>
              </w:rPr>
            </w:pP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45306" w14:textId="77777777" w:rsidR="00F36D3F" w:rsidRPr="003962B3" w:rsidRDefault="00F36D3F"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ISCO</w:t>
            </w:r>
          </w:p>
        </w:tc>
        <w:tc>
          <w:tcPr>
            <w:tcW w:w="5278" w:type="dxa"/>
            <w:tcBorders>
              <w:top w:val="single" w:sz="4" w:space="0" w:color="auto"/>
              <w:left w:val="nil"/>
              <w:bottom w:val="single" w:sz="4" w:space="0" w:color="auto"/>
              <w:right w:val="single" w:sz="4" w:space="0" w:color="auto"/>
            </w:tcBorders>
            <w:shd w:val="clear" w:color="auto" w:fill="auto"/>
            <w:noWrap/>
            <w:vAlign w:val="bottom"/>
            <w:hideMark/>
          </w:tcPr>
          <w:p w14:paraId="4061DC87" w14:textId="77777777" w:rsidR="00F36D3F" w:rsidRPr="003962B3" w:rsidRDefault="00F36D3F"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Ametiala</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14:paraId="05560E99" w14:textId="77777777" w:rsidR="00F36D3F" w:rsidRPr="003962B3" w:rsidRDefault="00F36D3F"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Tööjõu-vajaduse tasakaalu hinnang (aastas)</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14:paraId="517AB81B" w14:textId="77777777" w:rsidR="00F36D3F" w:rsidRPr="003962B3" w:rsidRDefault="00F36D3F"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Suhteline tasakaal</w:t>
            </w:r>
          </w:p>
        </w:tc>
      </w:tr>
      <w:tr w:rsidR="00F36D3F" w:rsidRPr="003962B3" w14:paraId="777B1EED" w14:textId="77777777" w:rsidTr="00D31021">
        <w:trPr>
          <w:trHeight w:val="300"/>
        </w:trPr>
        <w:tc>
          <w:tcPr>
            <w:tcW w:w="422" w:type="dxa"/>
            <w:vMerge w:val="restart"/>
            <w:tcBorders>
              <w:top w:val="nil"/>
              <w:left w:val="single" w:sz="4" w:space="0" w:color="auto"/>
              <w:right w:val="single" w:sz="4" w:space="0" w:color="auto"/>
            </w:tcBorders>
            <w:textDirection w:val="btLr"/>
          </w:tcPr>
          <w:p w14:paraId="4F5F251F" w14:textId="77777777" w:rsidR="00F36D3F" w:rsidRPr="003962B3" w:rsidRDefault="00F36D3F" w:rsidP="007E4395">
            <w:pPr>
              <w:spacing w:after="0" w:line="240" w:lineRule="auto"/>
              <w:ind w:left="113" w:right="113"/>
              <w:jc w:val="both"/>
              <w:rPr>
                <w:rFonts w:ascii="Calibri" w:eastAsia="Times New Roman" w:hAnsi="Calibri" w:cs="Calibri"/>
                <w:color w:val="000000"/>
                <w:lang w:eastAsia="et-EE"/>
              </w:rPr>
            </w:pPr>
            <w:r>
              <w:rPr>
                <w:rFonts w:ascii="Calibri" w:eastAsia="Times New Roman" w:hAnsi="Calibri" w:cs="Calibri"/>
                <w:color w:val="000000"/>
                <w:lang w:eastAsia="et-EE"/>
              </w:rPr>
              <w:t>Puudujääk</w:t>
            </w:r>
          </w:p>
        </w:tc>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101FE9CF" w14:textId="77777777" w:rsidR="00F36D3F" w:rsidRPr="003962B3" w:rsidRDefault="00F36D3F"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 </w:t>
            </w:r>
          </w:p>
        </w:tc>
        <w:tc>
          <w:tcPr>
            <w:tcW w:w="5278" w:type="dxa"/>
            <w:tcBorders>
              <w:top w:val="nil"/>
              <w:left w:val="nil"/>
              <w:bottom w:val="single" w:sz="4" w:space="0" w:color="auto"/>
              <w:right w:val="single" w:sz="4" w:space="0" w:color="auto"/>
            </w:tcBorders>
            <w:shd w:val="clear" w:color="auto" w:fill="auto"/>
            <w:noWrap/>
            <w:vAlign w:val="bottom"/>
            <w:hideMark/>
          </w:tcPr>
          <w:p w14:paraId="335971FB" w14:textId="77777777" w:rsidR="00F36D3F" w:rsidRPr="003962B3" w:rsidRDefault="00F36D3F"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Ametialad kokku</w:t>
            </w:r>
          </w:p>
        </w:tc>
        <w:tc>
          <w:tcPr>
            <w:tcW w:w="1394" w:type="dxa"/>
            <w:tcBorders>
              <w:top w:val="nil"/>
              <w:left w:val="nil"/>
              <w:bottom w:val="single" w:sz="4" w:space="0" w:color="auto"/>
              <w:right w:val="single" w:sz="4" w:space="0" w:color="auto"/>
            </w:tcBorders>
            <w:shd w:val="clear" w:color="auto" w:fill="auto"/>
            <w:noWrap/>
            <w:vAlign w:val="bottom"/>
            <w:hideMark/>
          </w:tcPr>
          <w:p w14:paraId="0976847A" w14:textId="640A4CCF" w:rsidR="00F36D3F" w:rsidRPr="003962B3" w:rsidRDefault="00F36D3F"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-2</w:t>
            </w:r>
            <w:r w:rsidR="00B94F54">
              <w:rPr>
                <w:rFonts w:ascii="Calibri" w:eastAsia="Times New Roman" w:hAnsi="Calibri" w:cs="Calibri"/>
                <w:color w:val="000000"/>
                <w:lang w:eastAsia="et-EE"/>
              </w:rPr>
              <w:t>020</w:t>
            </w:r>
          </w:p>
        </w:tc>
        <w:tc>
          <w:tcPr>
            <w:tcW w:w="1256" w:type="dxa"/>
            <w:tcBorders>
              <w:top w:val="nil"/>
              <w:left w:val="nil"/>
              <w:bottom w:val="single" w:sz="4" w:space="0" w:color="auto"/>
              <w:right w:val="single" w:sz="4" w:space="0" w:color="auto"/>
            </w:tcBorders>
            <w:shd w:val="clear" w:color="auto" w:fill="auto"/>
            <w:noWrap/>
            <w:vAlign w:val="bottom"/>
            <w:hideMark/>
          </w:tcPr>
          <w:p w14:paraId="22C4EB14" w14:textId="77777777" w:rsidR="00F36D3F" w:rsidRPr="003962B3" w:rsidRDefault="00F36D3F"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-21%</w:t>
            </w:r>
          </w:p>
        </w:tc>
      </w:tr>
      <w:tr w:rsidR="00F36D3F" w:rsidRPr="003962B3" w14:paraId="207DEDBA" w14:textId="77777777" w:rsidTr="00D31021">
        <w:trPr>
          <w:trHeight w:val="300"/>
        </w:trPr>
        <w:tc>
          <w:tcPr>
            <w:tcW w:w="422" w:type="dxa"/>
            <w:vMerge/>
            <w:tcBorders>
              <w:left w:val="single" w:sz="4" w:space="0" w:color="auto"/>
              <w:right w:val="single" w:sz="4" w:space="0" w:color="auto"/>
            </w:tcBorders>
          </w:tcPr>
          <w:p w14:paraId="495E60EF" w14:textId="77777777" w:rsidR="00F36D3F" w:rsidRPr="003962B3" w:rsidRDefault="00F36D3F"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44B98DF6" w14:textId="77777777" w:rsidR="00F36D3F" w:rsidRPr="003962B3" w:rsidRDefault="00F36D3F"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25</w:t>
            </w:r>
          </w:p>
        </w:tc>
        <w:tc>
          <w:tcPr>
            <w:tcW w:w="5278" w:type="dxa"/>
            <w:tcBorders>
              <w:top w:val="nil"/>
              <w:left w:val="nil"/>
              <w:bottom w:val="single" w:sz="4" w:space="0" w:color="auto"/>
              <w:right w:val="single" w:sz="4" w:space="0" w:color="auto"/>
            </w:tcBorders>
            <w:shd w:val="clear" w:color="auto" w:fill="auto"/>
            <w:noWrap/>
            <w:vAlign w:val="bottom"/>
            <w:hideMark/>
          </w:tcPr>
          <w:p w14:paraId="1D87E7BE" w14:textId="77777777" w:rsidR="00F36D3F" w:rsidRPr="003962B3" w:rsidRDefault="00F36D3F"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Info- ja kommunikatsioonitehnoloogia tippspetsialistid</w:t>
            </w:r>
          </w:p>
        </w:tc>
        <w:tc>
          <w:tcPr>
            <w:tcW w:w="1394" w:type="dxa"/>
            <w:tcBorders>
              <w:top w:val="nil"/>
              <w:left w:val="nil"/>
              <w:bottom w:val="single" w:sz="4" w:space="0" w:color="auto"/>
              <w:right w:val="single" w:sz="4" w:space="0" w:color="auto"/>
            </w:tcBorders>
            <w:shd w:val="clear" w:color="auto" w:fill="auto"/>
            <w:noWrap/>
            <w:vAlign w:val="bottom"/>
            <w:hideMark/>
          </w:tcPr>
          <w:p w14:paraId="01D2218B" w14:textId="22770F00" w:rsidR="00F36D3F" w:rsidRPr="003962B3" w:rsidRDefault="00F36D3F"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-6</w:t>
            </w:r>
            <w:r w:rsidR="00B94F54">
              <w:rPr>
                <w:rFonts w:ascii="Calibri" w:eastAsia="Times New Roman" w:hAnsi="Calibri" w:cs="Calibri"/>
                <w:color w:val="000000"/>
                <w:lang w:eastAsia="et-EE"/>
              </w:rPr>
              <w:t>10</w:t>
            </w:r>
          </w:p>
        </w:tc>
        <w:tc>
          <w:tcPr>
            <w:tcW w:w="1256" w:type="dxa"/>
            <w:tcBorders>
              <w:top w:val="nil"/>
              <w:left w:val="nil"/>
              <w:bottom w:val="single" w:sz="4" w:space="0" w:color="auto"/>
              <w:right w:val="single" w:sz="4" w:space="0" w:color="auto"/>
            </w:tcBorders>
            <w:shd w:val="clear" w:color="auto" w:fill="auto"/>
            <w:noWrap/>
            <w:vAlign w:val="bottom"/>
            <w:hideMark/>
          </w:tcPr>
          <w:p w14:paraId="755D89D7" w14:textId="7B120300" w:rsidR="00F36D3F" w:rsidRPr="003962B3" w:rsidRDefault="00F36D3F"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-6</w:t>
            </w:r>
            <w:r w:rsidR="00B94F54">
              <w:rPr>
                <w:rFonts w:ascii="Calibri" w:eastAsia="Times New Roman" w:hAnsi="Calibri" w:cs="Calibri"/>
                <w:color w:val="000000"/>
                <w:lang w:eastAsia="et-EE"/>
              </w:rPr>
              <w:t>7</w:t>
            </w:r>
            <w:r w:rsidRPr="003962B3">
              <w:rPr>
                <w:rFonts w:ascii="Calibri" w:eastAsia="Times New Roman" w:hAnsi="Calibri" w:cs="Calibri"/>
                <w:color w:val="000000"/>
                <w:lang w:eastAsia="et-EE"/>
              </w:rPr>
              <w:t>%</w:t>
            </w:r>
          </w:p>
        </w:tc>
      </w:tr>
      <w:tr w:rsidR="00F36D3F" w:rsidRPr="003962B3" w14:paraId="15C7D0DB" w14:textId="77777777" w:rsidTr="00D31021">
        <w:trPr>
          <w:trHeight w:val="300"/>
        </w:trPr>
        <w:tc>
          <w:tcPr>
            <w:tcW w:w="422" w:type="dxa"/>
            <w:vMerge/>
            <w:tcBorders>
              <w:left w:val="single" w:sz="4" w:space="0" w:color="auto"/>
              <w:right w:val="single" w:sz="4" w:space="0" w:color="auto"/>
            </w:tcBorders>
          </w:tcPr>
          <w:p w14:paraId="1A15C347" w14:textId="77777777" w:rsidR="00F36D3F" w:rsidRPr="003962B3" w:rsidRDefault="00F36D3F"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4FF131F1" w14:textId="77777777" w:rsidR="00F36D3F" w:rsidRPr="003962B3" w:rsidRDefault="00F36D3F"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13</w:t>
            </w:r>
          </w:p>
        </w:tc>
        <w:tc>
          <w:tcPr>
            <w:tcW w:w="5278" w:type="dxa"/>
            <w:tcBorders>
              <w:top w:val="nil"/>
              <w:left w:val="nil"/>
              <w:bottom w:val="single" w:sz="4" w:space="0" w:color="auto"/>
              <w:right w:val="single" w:sz="4" w:space="0" w:color="auto"/>
            </w:tcBorders>
            <w:shd w:val="clear" w:color="auto" w:fill="auto"/>
            <w:noWrap/>
            <w:vAlign w:val="bottom"/>
            <w:hideMark/>
          </w:tcPr>
          <w:p w14:paraId="7315B866" w14:textId="77777777" w:rsidR="00F36D3F" w:rsidRPr="003962B3" w:rsidRDefault="00F36D3F"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Juhid tegevusalade järgi</w:t>
            </w:r>
          </w:p>
        </w:tc>
        <w:tc>
          <w:tcPr>
            <w:tcW w:w="1394" w:type="dxa"/>
            <w:tcBorders>
              <w:top w:val="nil"/>
              <w:left w:val="nil"/>
              <w:bottom w:val="single" w:sz="4" w:space="0" w:color="auto"/>
              <w:right w:val="single" w:sz="4" w:space="0" w:color="auto"/>
            </w:tcBorders>
            <w:shd w:val="clear" w:color="auto" w:fill="auto"/>
            <w:noWrap/>
            <w:vAlign w:val="bottom"/>
            <w:hideMark/>
          </w:tcPr>
          <w:p w14:paraId="235016B2" w14:textId="5F1949C7" w:rsidR="00F36D3F" w:rsidRPr="003962B3" w:rsidRDefault="00F36D3F"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w:t>
            </w:r>
            <w:r w:rsidR="00B94F54">
              <w:rPr>
                <w:rFonts w:ascii="Calibri" w:eastAsia="Times New Roman" w:hAnsi="Calibri" w:cs="Calibri"/>
                <w:color w:val="000000"/>
                <w:lang w:eastAsia="et-EE"/>
              </w:rPr>
              <w:t>58</w:t>
            </w:r>
            <w:r w:rsidRPr="003962B3">
              <w:rPr>
                <w:rFonts w:ascii="Calibri" w:eastAsia="Times New Roman" w:hAnsi="Calibri" w:cs="Calibri"/>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hideMark/>
          </w:tcPr>
          <w:p w14:paraId="52836508" w14:textId="1C6C506E" w:rsidR="00F36D3F" w:rsidRPr="003962B3" w:rsidRDefault="00F36D3F"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-7</w:t>
            </w:r>
            <w:r w:rsidR="00B94F54">
              <w:rPr>
                <w:rFonts w:ascii="Calibri" w:eastAsia="Times New Roman" w:hAnsi="Calibri" w:cs="Calibri"/>
                <w:color w:val="000000"/>
                <w:lang w:eastAsia="et-EE"/>
              </w:rPr>
              <w:t>5</w:t>
            </w:r>
            <w:r w:rsidRPr="003962B3">
              <w:rPr>
                <w:rFonts w:ascii="Calibri" w:eastAsia="Times New Roman" w:hAnsi="Calibri" w:cs="Calibri"/>
                <w:color w:val="000000"/>
                <w:lang w:eastAsia="et-EE"/>
              </w:rPr>
              <w:t>%</w:t>
            </w:r>
          </w:p>
        </w:tc>
      </w:tr>
      <w:tr w:rsidR="00B94F54" w:rsidRPr="003962B3" w14:paraId="786BE706" w14:textId="77777777" w:rsidTr="00B94F54">
        <w:trPr>
          <w:trHeight w:val="300"/>
        </w:trPr>
        <w:tc>
          <w:tcPr>
            <w:tcW w:w="422" w:type="dxa"/>
            <w:vMerge/>
            <w:tcBorders>
              <w:left w:val="single" w:sz="4" w:space="0" w:color="auto"/>
              <w:right w:val="single" w:sz="4" w:space="0" w:color="auto"/>
            </w:tcBorders>
          </w:tcPr>
          <w:p w14:paraId="2DA41915"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0B6304F6" w14:textId="3331F97C"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31</w:t>
            </w:r>
          </w:p>
        </w:tc>
        <w:tc>
          <w:tcPr>
            <w:tcW w:w="5278" w:type="dxa"/>
            <w:tcBorders>
              <w:top w:val="nil"/>
              <w:left w:val="nil"/>
              <w:bottom w:val="single" w:sz="4" w:space="0" w:color="auto"/>
              <w:right w:val="single" w:sz="4" w:space="0" w:color="auto"/>
            </w:tcBorders>
            <w:shd w:val="clear" w:color="auto" w:fill="auto"/>
            <w:noWrap/>
            <w:vAlign w:val="bottom"/>
          </w:tcPr>
          <w:p w14:paraId="70C20C09" w14:textId="1F3CD607"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Loodus- ja inseneriteaduste keskastme spetsialistid</w:t>
            </w:r>
          </w:p>
        </w:tc>
        <w:tc>
          <w:tcPr>
            <w:tcW w:w="1394" w:type="dxa"/>
            <w:tcBorders>
              <w:top w:val="nil"/>
              <w:left w:val="nil"/>
              <w:bottom w:val="single" w:sz="4" w:space="0" w:color="auto"/>
              <w:right w:val="single" w:sz="4" w:space="0" w:color="auto"/>
            </w:tcBorders>
            <w:shd w:val="clear" w:color="auto" w:fill="auto"/>
            <w:noWrap/>
            <w:vAlign w:val="bottom"/>
          </w:tcPr>
          <w:p w14:paraId="5F5497B9" w14:textId="7639552D"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w:t>
            </w:r>
            <w:r>
              <w:rPr>
                <w:rFonts w:ascii="Calibri" w:eastAsia="Times New Roman" w:hAnsi="Calibri" w:cs="Calibri"/>
                <w:color w:val="000000"/>
                <w:lang w:eastAsia="et-EE"/>
              </w:rPr>
              <w:t>41</w:t>
            </w:r>
            <w:r w:rsidRPr="003962B3">
              <w:rPr>
                <w:rFonts w:ascii="Calibri" w:eastAsia="Times New Roman" w:hAnsi="Calibri" w:cs="Calibri"/>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tcPr>
          <w:p w14:paraId="4B4D881F" w14:textId="6DE85CC4"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-6</w:t>
            </w:r>
            <w:r>
              <w:rPr>
                <w:rFonts w:ascii="Calibri" w:eastAsia="Times New Roman" w:hAnsi="Calibri" w:cs="Calibri"/>
                <w:color w:val="000000"/>
                <w:lang w:eastAsia="et-EE"/>
              </w:rPr>
              <w:t>4</w:t>
            </w:r>
            <w:r w:rsidRPr="003962B3">
              <w:rPr>
                <w:rFonts w:ascii="Calibri" w:eastAsia="Times New Roman" w:hAnsi="Calibri" w:cs="Calibri"/>
                <w:color w:val="000000"/>
                <w:lang w:eastAsia="et-EE"/>
              </w:rPr>
              <w:t>%</w:t>
            </w:r>
          </w:p>
        </w:tc>
      </w:tr>
      <w:tr w:rsidR="00B94F54" w:rsidRPr="003962B3" w14:paraId="38DB7BD9" w14:textId="77777777" w:rsidTr="00D31021">
        <w:trPr>
          <w:trHeight w:val="300"/>
        </w:trPr>
        <w:tc>
          <w:tcPr>
            <w:tcW w:w="422" w:type="dxa"/>
            <w:vMerge/>
            <w:tcBorders>
              <w:left w:val="single" w:sz="4" w:space="0" w:color="auto"/>
              <w:right w:val="single" w:sz="4" w:space="0" w:color="auto"/>
            </w:tcBorders>
          </w:tcPr>
          <w:p w14:paraId="0080C186"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668CD904" w14:textId="48F7E4F4"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83</w:t>
            </w:r>
          </w:p>
        </w:tc>
        <w:tc>
          <w:tcPr>
            <w:tcW w:w="5278" w:type="dxa"/>
            <w:tcBorders>
              <w:top w:val="nil"/>
              <w:left w:val="nil"/>
              <w:bottom w:val="single" w:sz="4" w:space="0" w:color="auto"/>
              <w:right w:val="single" w:sz="4" w:space="0" w:color="auto"/>
            </w:tcBorders>
            <w:shd w:val="clear" w:color="auto" w:fill="auto"/>
            <w:noWrap/>
            <w:vAlign w:val="bottom"/>
          </w:tcPr>
          <w:p w14:paraId="446E5628" w14:textId="69174DEA"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Mootorsõidukite ja liikurmasinate juhid</w:t>
            </w:r>
          </w:p>
        </w:tc>
        <w:tc>
          <w:tcPr>
            <w:tcW w:w="1394" w:type="dxa"/>
            <w:tcBorders>
              <w:top w:val="nil"/>
              <w:left w:val="nil"/>
              <w:bottom w:val="single" w:sz="4" w:space="0" w:color="auto"/>
              <w:right w:val="single" w:sz="4" w:space="0" w:color="auto"/>
            </w:tcBorders>
            <w:shd w:val="clear" w:color="auto" w:fill="auto"/>
            <w:noWrap/>
            <w:vAlign w:val="bottom"/>
          </w:tcPr>
          <w:p w14:paraId="57EC0A75" w14:textId="3E14EBB7"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w:t>
            </w:r>
            <w:r>
              <w:rPr>
                <w:rFonts w:ascii="Calibri" w:eastAsia="Times New Roman" w:hAnsi="Calibri" w:cs="Calibri"/>
                <w:color w:val="000000"/>
                <w:lang w:eastAsia="et-EE"/>
              </w:rPr>
              <w:t>39</w:t>
            </w:r>
            <w:r w:rsidRPr="003962B3">
              <w:rPr>
                <w:rFonts w:ascii="Calibri" w:eastAsia="Times New Roman" w:hAnsi="Calibri" w:cs="Calibri"/>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tcPr>
          <w:p w14:paraId="155A00C0" w14:textId="43A39FED"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w:t>
            </w:r>
            <w:r>
              <w:rPr>
                <w:rFonts w:ascii="Calibri" w:eastAsia="Times New Roman" w:hAnsi="Calibri" w:cs="Calibri"/>
                <w:color w:val="000000"/>
                <w:lang w:eastAsia="et-EE"/>
              </w:rPr>
              <w:t>68</w:t>
            </w:r>
            <w:r w:rsidRPr="003962B3">
              <w:rPr>
                <w:rFonts w:ascii="Calibri" w:eastAsia="Times New Roman" w:hAnsi="Calibri" w:cs="Calibri"/>
                <w:color w:val="000000"/>
                <w:lang w:eastAsia="et-EE"/>
              </w:rPr>
              <w:t>%</w:t>
            </w:r>
          </w:p>
        </w:tc>
      </w:tr>
      <w:tr w:rsidR="00B94F54" w:rsidRPr="003962B3" w14:paraId="6E2FD0FF" w14:textId="77777777" w:rsidTr="00B94F54">
        <w:trPr>
          <w:trHeight w:val="300"/>
        </w:trPr>
        <w:tc>
          <w:tcPr>
            <w:tcW w:w="422" w:type="dxa"/>
            <w:vMerge/>
            <w:tcBorders>
              <w:left w:val="single" w:sz="4" w:space="0" w:color="auto"/>
              <w:right w:val="single" w:sz="4" w:space="0" w:color="auto"/>
            </w:tcBorders>
          </w:tcPr>
          <w:p w14:paraId="5E8AC23F"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0C4AC87A" w14:textId="773B15C5"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32</w:t>
            </w:r>
          </w:p>
        </w:tc>
        <w:tc>
          <w:tcPr>
            <w:tcW w:w="5278" w:type="dxa"/>
            <w:tcBorders>
              <w:top w:val="nil"/>
              <w:left w:val="nil"/>
              <w:bottom w:val="single" w:sz="4" w:space="0" w:color="auto"/>
              <w:right w:val="single" w:sz="4" w:space="0" w:color="auto"/>
            </w:tcBorders>
            <w:shd w:val="clear" w:color="auto" w:fill="auto"/>
            <w:noWrap/>
            <w:vAlign w:val="bottom"/>
          </w:tcPr>
          <w:p w14:paraId="2BF99EC7" w14:textId="30BF1C21"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Tervishoiu keskastme spetsialistid</w:t>
            </w:r>
          </w:p>
        </w:tc>
        <w:tc>
          <w:tcPr>
            <w:tcW w:w="1394" w:type="dxa"/>
            <w:tcBorders>
              <w:top w:val="nil"/>
              <w:left w:val="nil"/>
              <w:bottom w:val="single" w:sz="4" w:space="0" w:color="auto"/>
              <w:right w:val="single" w:sz="4" w:space="0" w:color="auto"/>
            </w:tcBorders>
            <w:shd w:val="clear" w:color="auto" w:fill="auto"/>
            <w:noWrap/>
            <w:vAlign w:val="bottom"/>
          </w:tcPr>
          <w:p w14:paraId="224D0373" w14:textId="2EA6F7AE"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-2</w:t>
            </w:r>
            <w:r>
              <w:rPr>
                <w:rFonts w:ascii="Calibri" w:eastAsia="Times New Roman" w:hAnsi="Calibri" w:cs="Calibri"/>
                <w:color w:val="000000"/>
                <w:lang w:eastAsia="et-EE"/>
              </w:rPr>
              <w:t>8</w:t>
            </w:r>
            <w:r w:rsidRPr="003962B3">
              <w:rPr>
                <w:rFonts w:ascii="Calibri" w:eastAsia="Times New Roman" w:hAnsi="Calibri" w:cs="Calibri"/>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tcPr>
          <w:p w14:paraId="7F8A0D5E" w14:textId="567891F2"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w:t>
            </w:r>
            <w:r>
              <w:rPr>
                <w:rFonts w:ascii="Calibri" w:eastAsia="Times New Roman" w:hAnsi="Calibri" w:cs="Calibri"/>
                <w:color w:val="000000"/>
                <w:lang w:eastAsia="et-EE"/>
              </w:rPr>
              <w:t>72</w:t>
            </w:r>
            <w:r w:rsidRPr="003962B3">
              <w:rPr>
                <w:rFonts w:ascii="Calibri" w:eastAsia="Times New Roman" w:hAnsi="Calibri" w:cs="Calibri"/>
                <w:color w:val="000000"/>
                <w:lang w:eastAsia="et-EE"/>
              </w:rPr>
              <w:t>%</w:t>
            </w:r>
          </w:p>
        </w:tc>
      </w:tr>
      <w:tr w:rsidR="00B94F54" w:rsidRPr="003962B3" w14:paraId="1B8905B6" w14:textId="77777777" w:rsidTr="00B94F54">
        <w:trPr>
          <w:trHeight w:val="300"/>
        </w:trPr>
        <w:tc>
          <w:tcPr>
            <w:tcW w:w="422" w:type="dxa"/>
            <w:vMerge/>
            <w:tcBorders>
              <w:left w:val="single" w:sz="4" w:space="0" w:color="auto"/>
              <w:right w:val="single" w:sz="4" w:space="0" w:color="auto"/>
            </w:tcBorders>
          </w:tcPr>
          <w:p w14:paraId="3B71BE99"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15A9C615" w14:textId="6A83D28B"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53</w:t>
            </w:r>
          </w:p>
        </w:tc>
        <w:tc>
          <w:tcPr>
            <w:tcW w:w="5278" w:type="dxa"/>
            <w:tcBorders>
              <w:top w:val="nil"/>
              <w:left w:val="nil"/>
              <w:bottom w:val="single" w:sz="4" w:space="0" w:color="auto"/>
              <w:right w:val="single" w:sz="4" w:space="0" w:color="auto"/>
            </w:tcBorders>
            <w:shd w:val="clear" w:color="auto" w:fill="auto"/>
            <w:noWrap/>
            <w:vAlign w:val="bottom"/>
          </w:tcPr>
          <w:p w14:paraId="2D20C695" w14:textId="5E311255"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Isikuhooldustöötajad</w:t>
            </w:r>
          </w:p>
        </w:tc>
        <w:tc>
          <w:tcPr>
            <w:tcW w:w="1394" w:type="dxa"/>
            <w:tcBorders>
              <w:top w:val="nil"/>
              <w:left w:val="nil"/>
              <w:bottom w:val="single" w:sz="4" w:space="0" w:color="auto"/>
              <w:right w:val="single" w:sz="4" w:space="0" w:color="auto"/>
            </w:tcBorders>
            <w:shd w:val="clear" w:color="auto" w:fill="auto"/>
            <w:noWrap/>
            <w:vAlign w:val="bottom"/>
          </w:tcPr>
          <w:p w14:paraId="5D6F0962" w14:textId="1B99400A"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-2</w:t>
            </w:r>
            <w:r>
              <w:rPr>
                <w:rFonts w:ascii="Calibri" w:eastAsia="Times New Roman" w:hAnsi="Calibri" w:cs="Calibri"/>
                <w:color w:val="000000"/>
                <w:lang w:eastAsia="et-EE"/>
              </w:rPr>
              <w:t>4</w:t>
            </w:r>
            <w:r w:rsidRPr="003962B3">
              <w:rPr>
                <w:rFonts w:ascii="Calibri" w:eastAsia="Times New Roman" w:hAnsi="Calibri" w:cs="Calibri"/>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tcPr>
          <w:p w14:paraId="07C7EAD8" w14:textId="613A8E75"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-7</w:t>
            </w:r>
            <w:r>
              <w:rPr>
                <w:rFonts w:ascii="Calibri" w:eastAsia="Times New Roman" w:hAnsi="Calibri" w:cs="Calibri"/>
                <w:color w:val="000000"/>
                <w:lang w:eastAsia="et-EE"/>
              </w:rPr>
              <w:t>8</w:t>
            </w:r>
            <w:r w:rsidRPr="003962B3">
              <w:rPr>
                <w:rFonts w:ascii="Calibri" w:eastAsia="Times New Roman" w:hAnsi="Calibri" w:cs="Calibri"/>
                <w:color w:val="000000"/>
                <w:lang w:eastAsia="et-EE"/>
              </w:rPr>
              <w:t>%</w:t>
            </w:r>
          </w:p>
        </w:tc>
      </w:tr>
      <w:tr w:rsidR="00B94F54" w:rsidRPr="003962B3" w14:paraId="0950B7C7" w14:textId="77777777" w:rsidTr="00B94F54">
        <w:trPr>
          <w:trHeight w:val="300"/>
        </w:trPr>
        <w:tc>
          <w:tcPr>
            <w:tcW w:w="422" w:type="dxa"/>
            <w:vMerge/>
            <w:tcBorders>
              <w:left w:val="single" w:sz="4" w:space="0" w:color="auto"/>
              <w:right w:val="single" w:sz="4" w:space="0" w:color="auto"/>
            </w:tcBorders>
          </w:tcPr>
          <w:p w14:paraId="72ACD528"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6B7A48A7" w14:textId="1E77FBA4"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23</w:t>
            </w:r>
          </w:p>
        </w:tc>
        <w:tc>
          <w:tcPr>
            <w:tcW w:w="5278" w:type="dxa"/>
            <w:tcBorders>
              <w:top w:val="nil"/>
              <w:left w:val="nil"/>
              <w:bottom w:val="single" w:sz="4" w:space="0" w:color="auto"/>
              <w:right w:val="single" w:sz="4" w:space="0" w:color="auto"/>
            </w:tcBorders>
            <w:shd w:val="clear" w:color="auto" w:fill="auto"/>
            <w:noWrap/>
            <w:vAlign w:val="bottom"/>
          </w:tcPr>
          <w:p w14:paraId="4D4228E0" w14:textId="7BFD93F2"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Pedagoogika tippspetsialistid</w:t>
            </w:r>
          </w:p>
        </w:tc>
        <w:tc>
          <w:tcPr>
            <w:tcW w:w="1394" w:type="dxa"/>
            <w:tcBorders>
              <w:top w:val="nil"/>
              <w:left w:val="nil"/>
              <w:bottom w:val="single" w:sz="4" w:space="0" w:color="auto"/>
              <w:right w:val="single" w:sz="4" w:space="0" w:color="auto"/>
            </w:tcBorders>
            <w:shd w:val="clear" w:color="auto" w:fill="auto"/>
            <w:noWrap/>
            <w:vAlign w:val="bottom"/>
          </w:tcPr>
          <w:p w14:paraId="7E26FD1A" w14:textId="4A21B528"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w:t>
            </w:r>
            <w:r>
              <w:rPr>
                <w:rFonts w:ascii="Calibri" w:eastAsia="Times New Roman" w:hAnsi="Calibri" w:cs="Calibri"/>
                <w:color w:val="000000"/>
                <w:lang w:eastAsia="et-EE"/>
              </w:rPr>
              <w:t>2</w:t>
            </w:r>
            <w:r w:rsidRPr="003962B3">
              <w:rPr>
                <w:rFonts w:ascii="Calibri" w:eastAsia="Times New Roman" w:hAnsi="Calibri" w:cs="Calibri"/>
                <w:color w:val="000000"/>
                <w:lang w:eastAsia="et-EE"/>
              </w:rPr>
              <w:t>30</w:t>
            </w:r>
          </w:p>
        </w:tc>
        <w:tc>
          <w:tcPr>
            <w:tcW w:w="1256" w:type="dxa"/>
            <w:tcBorders>
              <w:top w:val="nil"/>
              <w:left w:val="nil"/>
              <w:bottom w:val="single" w:sz="4" w:space="0" w:color="auto"/>
              <w:right w:val="single" w:sz="4" w:space="0" w:color="auto"/>
            </w:tcBorders>
            <w:shd w:val="clear" w:color="auto" w:fill="auto"/>
            <w:noWrap/>
            <w:vAlign w:val="bottom"/>
          </w:tcPr>
          <w:p w14:paraId="38C8C595" w14:textId="0A2F9E52"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w:t>
            </w:r>
            <w:r>
              <w:rPr>
                <w:rFonts w:ascii="Calibri" w:eastAsia="Times New Roman" w:hAnsi="Calibri" w:cs="Calibri"/>
                <w:color w:val="000000"/>
                <w:lang w:eastAsia="et-EE"/>
              </w:rPr>
              <w:t>33</w:t>
            </w:r>
            <w:r w:rsidRPr="003962B3">
              <w:rPr>
                <w:rFonts w:ascii="Calibri" w:eastAsia="Times New Roman" w:hAnsi="Calibri" w:cs="Calibri"/>
                <w:color w:val="000000"/>
                <w:lang w:eastAsia="et-EE"/>
              </w:rPr>
              <w:t>%</w:t>
            </w:r>
          </w:p>
        </w:tc>
      </w:tr>
      <w:tr w:rsidR="00B94F54" w:rsidRPr="003962B3" w14:paraId="623B6FD6" w14:textId="77777777" w:rsidTr="00B94F54">
        <w:trPr>
          <w:trHeight w:val="300"/>
        </w:trPr>
        <w:tc>
          <w:tcPr>
            <w:tcW w:w="422" w:type="dxa"/>
            <w:vMerge/>
            <w:tcBorders>
              <w:left w:val="single" w:sz="4" w:space="0" w:color="auto"/>
              <w:right w:val="single" w:sz="4" w:space="0" w:color="auto"/>
            </w:tcBorders>
          </w:tcPr>
          <w:p w14:paraId="78A70E2E"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3BD7E017" w14:textId="5FD95AA5"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12</w:t>
            </w:r>
          </w:p>
        </w:tc>
        <w:tc>
          <w:tcPr>
            <w:tcW w:w="5278" w:type="dxa"/>
            <w:tcBorders>
              <w:top w:val="nil"/>
              <w:left w:val="nil"/>
              <w:bottom w:val="single" w:sz="4" w:space="0" w:color="auto"/>
              <w:right w:val="single" w:sz="4" w:space="0" w:color="auto"/>
            </w:tcBorders>
            <w:shd w:val="clear" w:color="auto" w:fill="auto"/>
            <w:noWrap/>
            <w:vAlign w:val="bottom"/>
          </w:tcPr>
          <w:p w14:paraId="63BCA30D" w14:textId="30776840"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Juhid äri- ja haldusalal</w:t>
            </w:r>
          </w:p>
        </w:tc>
        <w:tc>
          <w:tcPr>
            <w:tcW w:w="1394" w:type="dxa"/>
            <w:tcBorders>
              <w:top w:val="nil"/>
              <w:left w:val="nil"/>
              <w:bottom w:val="single" w:sz="4" w:space="0" w:color="auto"/>
              <w:right w:val="single" w:sz="4" w:space="0" w:color="auto"/>
            </w:tcBorders>
            <w:shd w:val="clear" w:color="auto" w:fill="auto"/>
            <w:noWrap/>
            <w:vAlign w:val="bottom"/>
          </w:tcPr>
          <w:p w14:paraId="56C81B9D" w14:textId="6FE71FD6"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-1</w:t>
            </w:r>
            <w:r>
              <w:rPr>
                <w:rFonts w:ascii="Calibri" w:eastAsia="Times New Roman" w:hAnsi="Calibri" w:cs="Calibri"/>
                <w:color w:val="000000"/>
                <w:lang w:eastAsia="et-EE"/>
              </w:rPr>
              <w:t>8</w:t>
            </w:r>
            <w:r w:rsidRPr="003962B3">
              <w:rPr>
                <w:rFonts w:ascii="Calibri" w:eastAsia="Times New Roman" w:hAnsi="Calibri" w:cs="Calibri"/>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tcPr>
          <w:p w14:paraId="55D83378" w14:textId="10BD449D"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-6</w:t>
            </w:r>
            <w:r>
              <w:rPr>
                <w:rFonts w:ascii="Calibri" w:eastAsia="Times New Roman" w:hAnsi="Calibri" w:cs="Calibri"/>
                <w:color w:val="000000"/>
                <w:lang w:eastAsia="et-EE"/>
              </w:rPr>
              <w:t>8</w:t>
            </w:r>
            <w:r w:rsidRPr="003962B3">
              <w:rPr>
                <w:rFonts w:ascii="Calibri" w:eastAsia="Times New Roman" w:hAnsi="Calibri" w:cs="Calibri"/>
                <w:color w:val="000000"/>
                <w:lang w:eastAsia="et-EE"/>
              </w:rPr>
              <w:t>%</w:t>
            </w:r>
          </w:p>
        </w:tc>
      </w:tr>
      <w:tr w:rsidR="00B94F54" w:rsidRPr="003962B3" w14:paraId="6CA910FA" w14:textId="77777777" w:rsidTr="00B94F54">
        <w:trPr>
          <w:trHeight w:val="300"/>
        </w:trPr>
        <w:tc>
          <w:tcPr>
            <w:tcW w:w="422" w:type="dxa"/>
            <w:vMerge/>
            <w:tcBorders>
              <w:left w:val="single" w:sz="4" w:space="0" w:color="auto"/>
              <w:right w:val="single" w:sz="4" w:space="0" w:color="auto"/>
            </w:tcBorders>
          </w:tcPr>
          <w:p w14:paraId="1D3E5E81"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7CBC34B4" w14:textId="47FDF5DB"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14</w:t>
            </w:r>
          </w:p>
        </w:tc>
        <w:tc>
          <w:tcPr>
            <w:tcW w:w="5278" w:type="dxa"/>
            <w:tcBorders>
              <w:top w:val="nil"/>
              <w:left w:val="nil"/>
              <w:bottom w:val="single" w:sz="4" w:space="0" w:color="auto"/>
              <w:right w:val="single" w:sz="4" w:space="0" w:color="auto"/>
            </w:tcBorders>
            <w:shd w:val="clear" w:color="auto" w:fill="auto"/>
            <w:noWrap/>
            <w:vAlign w:val="bottom"/>
          </w:tcPr>
          <w:p w14:paraId="5B3EE649" w14:textId="74CD9C96"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Juhid majutuses, toitlustuses, kaubanduses jm teenuseid osutavates asutustes</w:t>
            </w:r>
          </w:p>
        </w:tc>
        <w:tc>
          <w:tcPr>
            <w:tcW w:w="1394" w:type="dxa"/>
            <w:tcBorders>
              <w:top w:val="nil"/>
              <w:left w:val="nil"/>
              <w:bottom w:val="single" w:sz="4" w:space="0" w:color="auto"/>
              <w:right w:val="single" w:sz="4" w:space="0" w:color="auto"/>
            </w:tcBorders>
            <w:shd w:val="clear" w:color="auto" w:fill="auto"/>
            <w:noWrap/>
            <w:vAlign w:val="bottom"/>
          </w:tcPr>
          <w:p w14:paraId="171552F7" w14:textId="0EFD1205"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w:t>
            </w:r>
            <w:r>
              <w:rPr>
                <w:rFonts w:ascii="Calibri" w:eastAsia="Times New Roman" w:hAnsi="Calibri" w:cs="Calibri"/>
                <w:color w:val="000000"/>
                <w:lang w:eastAsia="et-EE"/>
              </w:rPr>
              <w:t>17</w:t>
            </w:r>
            <w:r w:rsidRPr="003962B3">
              <w:rPr>
                <w:rFonts w:ascii="Calibri" w:eastAsia="Times New Roman" w:hAnsi="Calibri" w:cs="Calibri"/>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tcPr>
          <w:p w14:paraId="281C9C68" w14:textId="1DA8F01B"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-6</w:t>
            </w:r>
            <w:r>
              <w:rPr>
                <w:rFonts w:ascii="Calibri" w:eastAsia="Times New Roman" w:hAnsi="Calibri" w:cs="Calibri"/>
                <w:color w:val="000000"/>
                <w:lang w:eastAsia="et-EE"/>
              </w:rPr>
              <w:t>2</w:t>
            </w:r>
            <w:r w:rsidRPr="003962B3">
              <w:rPr>
                <w:rFonts w:ascii="Calibri" w:eastAsia="Times New Roman" w:hAnsi="Calibri" w:cs="Calibri"/>
                <w:color w:val="000000"/>
                <w:lang w:eastAsia="et-EE"/>
              </w:rPr>
              <w:t>%</w:t>
            </w:r>
          </w:p>
        </w:tc>
      </w:tr>
      <w:tr w:rsidR="00B94F54" w:rsidRPr="003962B3" w14:paraId="76E334B5" w14:textId="77777777" w:rsidTr="00B94F54">
        <w:trPr>
          <w:trHeight w:val="300"/>
        </w:trPr>
        <w:tc>
          <w:tcPr>
            <w:tcW w:w="422" w:type="dxa"/>
            <w:vMerge/>
            <w:tcBorders>
              <w:left w:val="single" w:sz="4" w:space="0" w:color="auto"/>
              <w:right w:val="single" w:sz="4" w:space="0" w:color="auto"/>
            </w:tcBorders>
          </w:tcPr>
          <w:p w14:paraId="2CFD46CD"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0B91E33E" w14:textId="75100EAD"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35</w:t>
            </w:r>
          </w:p>
        </w:tc>
        <w:tc>
          <w:tcPr>
            <w:tcW w:w="5278" w:type="dxa"/>
            <w:tcBorders>
              <w:top w:val="nil"/>
              <w:left w:val="nil"/>
              <w:bottom w:val="single" w:sz="4" w:space="0" w:color="auto"/>
              <w:right w:val="single" w:sz="4" w:space="0" w:color="auto"/>
            </w:tcBorders>
            <w:shd w:val="clear" w:color="auto" w:fill="auto"/>
            <w:noWrap/>
            <w:vAlign w:val="bottom"/>
          </w:tcPr>
          <w:p w14:paraId="76C780E9" w14:textId="040FFF02"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Info- ja kommunikatsioonitehnoloogia tehnilised töötajad</w:t>
            </w:r>
          </w:p>
        </w:tc>
        <w:tc>
          <w:tcPr>
            <w:tcW w:w="1394" w:type="dxa"/>
            <w:tcBorders>
              <w:top w:val="nil"/>
              <w:left w:val="nil"/>
              <w:bottom w:val="single" w:sz="4" w:space="0" w:color="auto"/>
              <w:right w:val="single" w:sz="4" w:space="0" w:color="auto"/>
            </w:tcBorders>
            <w:shd w:val="clear" w:color="auto" w:fill="auto"/>
            <w:noWrap/>
            <w:vAlign w:val="bottom"/>
          </w:tcPr>
          <w:p w14:paraId="5EA95E1C" w14:textId="74B6A273"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-1</w:t>
            </w:r>
            <w:r>
              <w:rPr>
                <w:rFonts w:ascii="Calibri" w:eastAsia="Times New Roman" w:hAnsi="Calibri" w:cs="Calibri"/>
                <w:color w:val="000000"/>
                <w:lang w:eastAsia="et-EE"/>
              </w:rPr>
              <w:t>4</w:t>
            </w:r>
            <w:r w:rsidRPr="003962B3">
              <w:rPr>
                <w:rFonts w:ascii="Calibri" w:eastAsia="Times New Roman" w:hAnsi="Calibri" w:cs="Calibri"/>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tcPr>
          <w:p w14:paraId="228C2E91" w14:textId="1D8314DC"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-5</w:t>
            </w:r>
            <w:r>
              <w:rPr>
                <w:rFonts w:ascii="Calibri" w:eastAsia="Times New Roman" w:hAnsi="Calibri" w:cs="Calibri"/>
                <w:color w:val="000000"/>
                <w:lang w:eastAsia="et-EE"/>
              </w:rPr>
              <w:t>3</w:t>
            </w:r>
            <w:r w:rsidRPr="003962B3">
              <w:rPr>
                <w:rFonts w:ascii="Calibri" w:eastAsia="Times New Roman" w:hAnsi="Calibri" w:cs="Calibri"/>
                <w:color w:val="000000"/>
                <w:lang w:eastAsia="et-EE"/>
              </w:rPr>
              <w:t>%</w:t>
            </w:r>
          </w:p>
        </w:tc>
      </w:tr>
      <w:tr w:rsidR="00B94F54" w:rsidRPr="003962B3" w14:paraId="792EF98E" w14:textId="77777777" w:rsidTr="00B94F54">
        <w:trPr>
          <w:trHeight w:val="300"/>
        </w:trPr>
        <w:tc>
          <w:tcPr>
            <w:tcW w:w="422" w:type="dxa"/>
            <w:vMerge/>
            <w:tcBorders>
              <w:left w:val="single" w:sz="4" w:space="0" w:color="auto"/>
              <w:right w:val="single" w:sz="4" w:space="0" w:color="auto"/>
            </w:tcBorders>
          </w:tcPr>
          <w:p w14:paraId="056A0143"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4EBF2468" w14:textId="48C3F1CC"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91</w:t>
            </w:r>
          </w:p>
        </w:tc>
        <w:tc>
          <w:tcPr>
            <w:tcW w:w="5278" w:type="dxa"/>
            <w:tcBorders>
              <w:top w:val="nil"/>
              <w:left w:val="nil"/>
              <w:bottom w:val="single" w:sz="4" w:space="0" w:color="auto"/>
              <w:right w:val="single" w:sz="4" w:space="0" w:color="auto"/>
            </w:tcBorders>
            <w:shd w:val="clear" w:color="auto" w:fill="auto"/>
            <w:noWrap/>
            <w:vAlign w:val="bottom"/>
          </w:tcPr>
          <w:p w14:paraId="15E4850C" w14:textId="201FE997"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Koristajad ja abilised</w:t>
            </w:r>
          </w:p>
        </w:tc>
        <w:tc>
          <w:tcPr>
            <w:tcW w:w="1394" w:type="dxa"/>
            <w:tcBorders>
              <w:top w:val="nil"/>
              <w:left w:val="nil"/>
              <w:bottom w:val="single" w:sz="4" w:space="0" w:color="auto"/>
              <w:right w:val="single" w:sz="4" w:space="0" w:color="auto"/>
            </w:tcBorders>
            <w:shd w:val="clear" w:color="auto" w:fill="auto"/>
            <w:noWrap/>
            <w:vAlign w:val="bottom"/>
          </w:tcPr>
          <w:p w14:paraId="7AD0D9F9" w14:textId="03510E77"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-1</w:t>
            </w:r>
            <w:r>
              <w:rPr>
                <w:rFonts w:ascii="Calibri" w:eastAsia="Times New Roman" w:hAnsi="Calibri" w:cs="Calibri"/>
                <w:color w:val="000000"/>
                <w:lang w:eastAsia="et-EE"/>
              </w:rPr>
              <w:t>3</w:t>
            </w:r>
            <w:r w:rsidRPr="003962B3">
              <w:rPr>
                <w:rFonts w:ascii="Calibri" w:eastAsia="Times New Roman" w:hAnsi="Calibri" w:cs="Calibri"/>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tcPr>
          <w:p w14:paraId="394723A3" w14:textId="57A49F14"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w:t>
            </w:r>
            <w:r>
              <w:rPr>
                <w:rFonts w:ascii="Calibri" w:eastAsia="Times New Roman" w:hAnsi="Calibri" w:cs="Calibri"/>
                <w:color w:val="000000"/>
                <w:lang w:eastAsia="et-EE"/>
              </w:rPr>
              <w:t>63</w:t>
            </w:r>
            <w:r w:rsidRPr="003962B3">
              <w:rPr>
                <w:rFonts w:ascii="Calibri" w:eastAsia="Times New Roman" w:hAnsi="Calibri" w:cs="Calibri"/>
                <w:color w:val="000000"/>
                <w:lang w:eastAsia="et-EE"/>
              </w:rPr>
              <w:t>%</w:t>
            </w:r>
          </w:p>
        </w:tc>
      </w:tr>
      <w:tr w:rsidR="00B94F54" w:rsidRPr="003962B3" w14:paraId="097FDD16" w14:textId="77777777" w:rsidTr="00B94F54">
        <w:trPr>
          <w:trHeight w:val="300"/>
        </w:trPr>
        <w:tc>
          <w:tcPr>
            <w:tcW w:w="422" w:type="dxa"/>
            <w:vMerge/>
            <w:tcBorders>
              <w:left w:val="single" w:sz="4" w:space="0" w:color="auto"/>
              <w:right w:val="single" w:sz="4" w:space="0" w:color="auto"/>
            </w:tcBorders>
          </w:tcPr>
          <w:p w14:paraId="1A28B885"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273B8A94" w14:textId="6177B6C8"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96</w:t>
            </w:r>
          </w:p>
        </w:tc>
        <w:tc>
          <w:tcPr>
            <w:tcW w:w="5278" w:type="dxa"/>
            <w:tcBorders>
              <w:top w:val="nil"/>
              <w:left w:val="nil"/>
              <w:bottom w:val="single" w:sz="4" w:space="0" w:color="auto"/>
              <w:right w:val="single" w:sz="4" w:space="0" w:color="auto"/>
            </w:tcBorders>
            <w:shd w:val="clear" w:color="auto" w:fill="auto"/>
            <w:noWrap/>
            <w:vAlign w:val="bottom"/>
          </w:tcPr>
          <w:p w14:paraId="32401573" w14:textId="48ABF271"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Prügivedajad jms lihttöölised</w:t>
            </w:r>
          </w:p>
        </w:tc>
        <w:tc>
          <w:tcPr>
            <w:tcW w:w="1394" w:type="dxa"/>
            <w:tcBorders>
              <w:top w:val="nil"/>
              <w:left w:val="nil"/>
              <w:bottom w:val="single" w:sz="4" w:space="0" w:color="auto"/>
              <w:right w:val="single" w:sz="4" w:space="0" w:color="auto"/>
            </w:tcBorders>
            <w:shd w:val="clear" w:color="auto" w:fill="auto"/>
            <w:noWrap/>
            <w:vAlign w:val="bottom"/>
          </w:tcPr>
          <w:p w14:paraId="5F83B3C4" w14:textId="0780C673"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-1</w:t>
            </w:r>
            <w:r>
              <w:rPr>
                <w:rFonts w:ascii="Calibri" w:eastAsia="Times New Roman" w:hAnsi="Calibri" w:cs="Calibri"/>
                <w:color w:val="000000"/>
                <w:lang w:eastAsia="et-EE"/>
              </w:rPr>
              <w:t>2</w:t>
            </w:r>
            <w:r w:rsidRPr="003962B3">
              <w:rPr>
                <w:rFonts w:ascii="Calibri" w:eastAsia="Times New Roman" w:hAnsi="Calibri" w:cs="Calibri"/>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tcPr>
          <w:p w14:paraId="5A9461FC" w14:textId="7249E4BE"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-7</w:t>
            </w:r>
            <w:r>
              <w:rPr>
                <w:rFonts w:ascii="Calibri" w:eastAsia="Times New Roman" w:hAnsi="Calibri" w:cs="Calibri"/>
                <w:color w:val="000000"/>
                <w:lang w:eastAsia="et-EE"/>
              </w:rPr>
              <w:t>5</w:t>
            </w:r>
            <w:r w:rsidRPr="003962B3">
              <w:rPr>
                <w:rFonts w:ascii="Calibri" w:eastAsia="Times New Roman" w:hAnsi="Calibri" w:cs="Calibri"/>
                <w:color w:val="000000"/>
                <w:lang w:eastAsia="et-EE"/>
              </w:rPr>
              <w:t>%</w:t>
            </w:r>
          </w:p>
        </w:tc>
      </w:tr>
      <w:tr w:rsidR="00B94F54" w:rsidRPr="003962B3" w14:paraId="2319E878" w14:textId="77777777" w:rsidTr="00B94F54">
        <w:trPr>
          <w:trHeight w:val="300"/>
        </w:trPr>
        <w:tc>
          <w:tcPr>
            <w:tcW w:w="422" w:type="dxa"/>
            <w:vMerge/>
            <w:tcBorders>
              <w:left w:val="single" w:sz="4" w:space="0" w:color="auto"/>
              <w:right w:val="single" w:sz="4" w:space="0" w:color="auto"/>
            </w:tcBorders>
          </w:tcPr>
          <w:p w14:paraId="095154FC"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1035FFAC" w14:textId="35B5B91E"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74</w:t>
            </w:r>
          </w:p>
        </w:tc>
        <w:tc>
          <w:tcPr>
            <w:tcW w:w="5278" w:type="dxa"/>
            <w:tcBorders>
              <w:top w:val="nil"/>
              <w:left w:val="nil"/>
              <w:bottom w:val="single" w:sz="4" w:space="0" w:color="auto"/>
              <w:right w:val="single" w:sz="4" w:space="0" w:color="auto"/>
            </w:tcBorders>
            <w:shd w:val="clear" w:color="auto" w:fill="auto"/>
            <w:noWrap/>
            <w:vAlign w:val="bottom"/>
          </w:tcPr>
          <w:p w14:paraId="029E1ED6" w14:textId="178B72EA"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Elektri- ja elektroonikatööstuse töötajad</w:t>
            </w:r>
          </w:p>
        </w:tc>
        <w:tc>
          <w:tcPr>
            <w:tcW w:w="1394" w:type="dxa"/>
            <w:tcBorders>
              <w:top w:val="nil"/>
              <w:left w:val="nil"/>
              <w:bottom w:val="single" w:sz="4" w:space="0" w:color="auto"/>
              <w:right w:val="single" w:sz="4" w:space="0" w:color="auto"/>
            </w:tcBorders>
            <w:shd w:val="clear" w:color="auto" w:fill="auto"/>
            <w:noWrap/>
            <w:vAlign w:val="bottom"/>
          </w:tcPr>
          <w:p w14:paraId="0711B7CF" w14:textId="5BC44BA1"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-90</w:t>
            </w:r>
          </w:p>
        </w:tc>
        <w:tc>
          <w:tcPr>
            <w:tcW w:w="1256" w:type="dxa"/>
            <w:tcBorders>
              <w:top w:val="nil"/>
              <w:left w:val="nil"/>
              <w:bottom w:val="single" w:sz="4" w:space="0" w:color="auto"/>
              <w:right w:val="single" w:sz="4" w:space="0" w:color="auto"/>
            </w:tcBorders>
            <w:shd w:val="clear" w:color="auto" w:fill="auto"/>
            <w:noWrap/>
            <w:vAlign w:val="bottom"/>
          </w:tcPr>
          <w:p w14:paraId="4DC53F4A" w14:textId="087CE2E7"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-4</w:t>
            </w:r>
            <w:r>
              <w:rPr>
                <w:rFonts w:ascii="Calibri" w:eastAsia="Times New Roman" w:hAnsi="Calibri" w:cs="Calibri"/>
                <w:color w:val="000000"/>
                <w:lang w:eastAsia="et-EE"/>
              </w:rPr>
              <w:t>2</w:t>
            </w:r>
            <w:r w:rsidRPr="003962B3">
              <w:rPr>
                <w:rFonts w:ascii="Calibri" w:eastAsia="Times New Roman" w:hAnsi="Calibri" w:cs="Calibri"/>
                <w:color w:val="000000"/>
                <w:lang w:eastAsia="et-EE"/>
              </w:rPr>
              <w:t>%</w:t>
            </w:r>
          </w:p>
        </w:tc>
      </w:tr>
      <w:tr w:rsidR="00B94F54" w:rsidRPr="003962B3" w14:paraId="17879763" w14:textId="77777777" w:rsidTr="00D31021">
        <w:trPr>
          <w:trHeight w:val="300"/>
        </w:trPr>
        <w:tc>
          <w:tcPr>
            <w:tcW w:w="422" w:type="dxa"/>
            <w:tcBorders>
              <w:top w:val="single" w:sz="4" w:space="0" w:color="auto"/>
              <w:left w:val="single" w:sz="4" w:space="0" w:color="auto"/>
              <w:bottom w:val="single" w:sz="4" w:space="0" w:color="auto"/>
              <w:right w:val="single" w:sz="4" w:space="0" w:color="auto"/>
            </w:tcBorders>
          </w:tcPr>
          <w:p w14:paraId="0151009D"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1B912C34"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5278" w:type="dxa"/>
            <w:tcBorders>
              <w:top w:val="nil"/>
              <w:left w:val="nil"/>
              <w:bottom w:val="single" w:sz="4" w:space="0" w:color="auto"/>
              <w:right w:val="single" w:sz="4" w:space="0" w:color="auto"/>
            </w:tcBorders>
            <w:shd w:val="clear" w:color="auto" w:fill="auto"/>
            <w:noWrap/>
            <w:vAlign w:val="bottom"/>
          </w:tcPr>
          <w:p w14:paraId="2B597DF7"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1394" w:type="dxa"/>
            <w:tcBorders>
              <w:top w:val="nil"/>
              <w:left w:val="nil"/>
              <w:bottom w:val="single" w:sz="4" w:space="0" w:color="auto"/>
              <w:right w:val="single" w:sz="4" w:space="0" w:color="auto"/>
            </w:tcBorders>
            <w:shd w:val="clear" w:color="auto" w:fill="auto"/>
            <w:noWrap/>
            <w:vAlign w:val="bottom"/>
          </w:tcPr>
          <w:p w14:paraId="23423F1E"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1256" w:type="dxa"/>
            <w:tcBorders>
              <w:top w:val="nil"/>
              <w:left w:val="nil"/>
              <w:bottom w:val="single" w:sz="4" w:space="0" w:color="auto"/>
              <w:right w:val="single" w:sz="4" w:space="0" w:color="auto"/>
            </w:tcBorders>
            <w:shd w:val="clear" w:color="auto" w:fill="auto"/>
            <w:noWrap/>
            <w:vAlign w:val="bottom"/>
          </w:tcPr>
          <w:p w14:paraId="3F7C1D94"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r>
      <w:tr w:rsidR="00B94F54" w:rsidRPr="003962B3" w14:paraId="20B7E3E9" w14:textId="77777777" w:rsidTr="00B94F54">
        <w:trPr>
          <w:trHeight w:val="300"/>
        </w:trPr>
        <w:tc>
          <w:tcPr>
            <w:tcW w:w="422" w:type="dxa"/>
            <w:vMerge w:val="restart"/>
            <w:tcBorders>
              <w:top w:val="nil"/>
              <w:left w:val="single" w:sz="4" w:space="0" w:color="auto"/>
              <w:right w:val="single" w:sz="4" w:space="0" w:color="auto"/>
            </w:tcBorders>
            <w:textDirection w:val="btLr"/>
          </w:tcPr>
          <w:p w14:paraId="47C7803D" w14:textId="77777777" w:rsidR="00B94F54" w:rsidRPr="003962B3" w:rsidRDefault="00B94F54" w:rsidP="007E4395">
            <w:pPr>
              <w:spacing w:after="0" w:line="240" w:lineRule="auto"/>
              <w:ind w:left="113" w:right="113"/>
              <w:jc w:val="both"/>
              <w:rPr>
                <w:rFonts w:ascii="Calibri" w:eastAsia="Times New Roman" w:hAnsi="Calibri" w:cs="Calibri"/>
                <w:color w:val="000000"/>
                <w:lang w:eastAsia="et-EE"/>
              </w:rPr>
            </w:pPr>
            <w:r>
              <w:rPr>
                <w:rFonts w:ascii="Calibri" w:eastAsia="Times New Roman" w:hAnsi="Calibri" w:cs="Calibri"/>
                <w:color w:val="000000"/>
                <w:lang w:eastAsia="et-EE"/>
              </w:rPr>
              <w:t>Ülejääk</w:t>
            </w: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4B8F84BE" w14:textId="2EEEA2DA"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52</w:t>
            </w:r>
          </w:p>
        </w:tc>
        <w:tc>
          <w:tcPr>
            <w:tcW w:w="5278" w:type="dxa"/>
            <w:tcBorders>
              <w:top w:val="nil"/>
              <w:left w:val="nil"/>
              <w:bottom w:val="single" w:sz="4" w:space="0" w:color="auto"/>
              <w:right w:val="single" w:sz="4" w:space="0" w:color="auto"/>
            </w:tcBorders>
            <w:shd w:val="clear" w:color="auto" w:fill="auto"/>
            <w:noWrap/>
            <w:vAlign w:val="bottom"/>
          </w:tcPr>
          <w:p w14:paraId="5BE44C08" w14:textId="13EA4EB4"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Müüjad</w:t>
            </w:r>
          </w:p>
        </w:tc>
        <w:tc>
          <w:tcPr>
            <w:tcW w:w="1394" w:type="dxa"/>
            <w:tcBorders>
              <w:top w:val="nil"/>
              <w:left w:val="nil"/>
              <w:bottom w:val="single" w:sz="4" w:space="0" w:color="auto"/>
              <w:right w:val="single" w:sz="4" w:space="0" w:color="auto"/>
            </w:tcBorders>
            <w:shd w:val="clear" w:color="auto" w:fill="auto"/>
            <w:noWrap/>
            <w:vAlign w:val="bottom"/>
          </w:tcPr>
          <w:p w14:paraId="6045B508" w14:textId="47911D9B"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3</w:t>
            </w:r>
            <w:r>
              <w:rPr>
                <w:rFonts w:ascii="Calibri" w:eastAsia="Times New Roman" w:hAnsi="Calibri" w:cs="Calibri"/>
                <w:color w:val="000000"/>
                <w:lang w:eastAsia="et-EE"/>
              </w:rPr>
              <w:t>7</w:t>
            </w:r>
            <w:r w:rsidRPr="003962B3">
              <w:rPr>
                <w:rFonts w:ascii="Calibri" w:eastAsia="Times New Roman" w:hAnsi="Calibri" w:cs="Calibri"/>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tcPr>
          <w:p w14:paraId="6D3EE3D9" w14:textId="16A57129" w:rsidR="00B94F54" w:rsidRPr="003962B3" w:rsidRDefault="00B94F54" w:rsidP="007E4395">
            <w:pPr>
              <w:spacing w:after="0" w:line="240" w:lineRule="auto"/>
              <w:jc w:val="both"/>
              <w:rPr>
                <w:rFonts w:ascii="Calibri" w:eastAsia="Times New Roman" w:hAnsi="Calibri" w:cs="Calibri"/>
                <w:color w:val="000000"/>
                <w:lang w:eastAsia="et-EE"/>
              </w:rPr>
            </w:pPr>
            <w:r>
              <w:rPr>
                <w:rFonts w:ascii="Calibri" w:eastAsia="Times New Roman" w:hAnsi="Calibri" w:cs="Calibri"/>
                <w:color w:val="000000"/>
                <w:lang w:eastAsia="et-EE"/>
              </w:rPr>
              <w:t>274</w:t>
            </w:r>
            <w:r w:rsidRPr="003962B3">
              <w:rPr>
                <w:rFonts w:ascii="Calibri" w:eastAsia="Times New Roman" w:hAnsi="Calibri" w:cs="Calibri"/>
                <w:color w:val="000000"/>
                <w:lang w:eastAsia="et-EE"/>
              </w:rPr>
              <w:t>%</w:t>
            </w:r>
          </w:p>
        </w:tc>
      </w:tr>
      <w:tr w:rsidR="00B94F54" w:rsidRPr="003962B3" w14:paraId="6F8B864B" w14:textId="77777777" w:rsidTr="00B94F54">
        <w:trPr>
          <w:trHeight w:val="300"/>
        </w:trPr>
        <w:tc>
          <w:tcPr>
            <w:tcW w:w="422" w:type="dxa"/>
            <w:vMerge/>
            <w:tcBorders>
              <w:left w:val="single" w:sz="4" w:space="0" w:color="auto"/>
              <w:right w:val="single" w:sz="4" w:space="0" w:color="auto"/>
            </w:tcBorders>
          </w:tcPr>
          <w:p w14:paraId="49AF20A9"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5E84C404" w14:textId="6DFBA90F"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33</w:t>
            </w:r>
          </w:p>
        </w:tc>
        <w:tc>
          <w:tcPr>
            <w:tcW w:w="5278" w:type="dxa"/>
            <w:tcBorders>
              <w:top w:val="nil"/>
              <w:left w:val="nil"/>
              <w:bottom w:val="single" w:sz="4" w:space="0" w:color="auto"/>
              <w:right w:val="single" w:sz="4" w:space="0" w:color="auto"/>
            </w:tcBorders>
            <w:shd w:val="clear" w:color="auto" w:fill="auto"/>
            <w:noWrap/>
            <w:vAlign w:val="bottom"/>
          </w:tcPr>
          <w:p w14:paraId="2660B861" w14:textId="6A919BBC"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Äri- ja haldusalal töötavad keskastme spetsialistid</w:t>
            </w:r>
          </w:p>
        </w:tc>
        <w:tc>
          <w:tcPr>
            <w:tcW w:w="1394" w:type="dxa"/>
            <w:tcBorders>
              <w:top w:val="nil"/>
              <w:left w:val="nil"/>
              <w:bottom w:val="single" w:sz="4" w:space="0" w:color="auto"/>
              <w:right w:val="single" w:sz="4" w:space="0" w:color="auto"/>
            </w:tcBorders>
            <w:shd w:val="clear" w:color="auto" w:fill="auto"/>
            <w:noWrap/>
            <w:vAlign w:val="bottom"/>
          </w:tcPr>
          <w:p w14:paraId="678E1C6E" w14:textId="00A1C187" w:rsidR="00B94F54" w:rsidRPr="003962B3" w:rsidRDefault="00B94F54" w:rsidP="007E4395">
            <w:pPr>
              <w:spacing w:after="0" w:line="240" w:lineRule="auto"/>
              <w:jc w:val="both"/>
              <w:rPr>
                <w:rFonts w:ascii="Calibri" w:eastAsia="Times New Roman" w:hAnsi="Calibri" w:cs="Calibri"/>
                <w:color w:val="000000"/>
                <w:lang w:eastAsia="et-EE"/>
              </w:rPr>
            </w:pPr>
            <w:r>
              <w:rPr>
                <w:rFonts w:ascii="Calibri" w:eastAsia="Times New Roman" w:hAnsi="Calibri" w:cs="Calibri"/>
                <w:color w:val="000000"/>
                <w:lang w:eastAsia="et-EE"/>
              </w:rPr>
              <w:t>25</w:t>
            </w:r>
            <w:r w:rsidRPr="003962B3">
              <w:rPr>
                <w:rFonts w:ascii="Calibri" w:eastAsia="Times New Roman" w:hAnsi="Calibri" w:cs="Calibri"/>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tcPr>
          <w:p w14:paraId="51E594D5" w14:textId="0B3CF8CA" w:rsidR="00B94F54" w:rsidRPr="003962B3" w:rsidRDefault="00B94F54" w:rsidP="007E4395">
            <w:pPr>
              <w:spacing w:after="0" w:line="240" w:lineRule="auto"/>
              <w:jc w:val="both"/>
              <w:rPr>
                <w:rFonts w:ascii="Calibri" w:eastAsia="Times New Roman" w:hAnsi="Calibri" w:cs="Calibri"/>
                <w:color w:val="000000"/>
                <w:lang w:eastAsia="et-EE"/>
              </w:rPr>
            </w:pPr>
            <w:r>
              <w:rPr>
                <w:rFonts w:ascii="Calibri" w:eastAsia="Times New Roman" w:hAnsi="Calibri" w:cs="Calibri"/>
                <w:color w:val="000000"/>
                <w:lang w:eastAsia="et-EE"/>
              </w:rPr>
              <w:t>61</w:t>
            </w:r>
            <w:r w:rsidRPr="003962B3">
              <w:rPr>
                <w:rFonts w:ascii="Calibri" w:eastAsia="Times New Roman" w:hAnsi="Calibri" w:cs="Calibri"/>
                <w:color w:val="000000"/>
                <w:lang w:eastAsia="et-EE"/>
              </w:rPr>
              <w:t>%</w:t>
            </w:r>
          </w:p>
        </w:tc>
      </w:tr>
      <w:tr w:rsidR="00B94F54" w:rsidRPr="003962B3" w14:paraId="20808010" w14:textId="77777777" w:rsidTr="00B94F54">
        <w:trPr>
          <w:trHeight w:val="300"/>
        </w:trPr>
        <w:tc>
          <w:tcPr>
            <w:tcW w:w="422" w:type="dxa"/>
            <w:vMerge/>
            <w:tcBorders>
              <w:left w:val="single" w:sz="4" w:space="0" w:color="auto"/>
              <w:right w:val="single" w:sz="4" w:space="0" w:color="auto"/>
            </w:tcBorders>
          </w:tcPr>
          <w:p w14:paraId="56ABE00F"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1ABF802F" w14:textId="166AD94E"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42</w:t>
            </w:r>
          </w:p>
        </w:tc>
        <w:tc>
          <w:tcPr>
            <w:tcW w:w="5278" w:type="dxa"/>
            <w:tcBorders>
              <w:top w:val="nil"/>
              <w:left w:val="nil"/>
              <w:bottom w:val="single" w:sz="4" w:space="0" w:color="auto"/>
              <w:right w:val="single" w:sz="4" w:space="0" w:color="auto"/>
            </w:tcBorders>
            <w:shd w:val="clear" w:color="auto" w:fill="auto"/>
            <w:noWrap/>
            <w:vAlign w:val="bottom"/>
          </w:tcPr>
          <w:p w14:paraId="3FA551A8" w14:textId="1C1F40D5"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Klienditeenindajad</w:t>
            </w:r>
          </w:p>
        </w:tc>
        <w:tc>
          <w:tcPr>
            <w:tcW w:w="1394" w:type="dxa"/>
            <w:tcBorders>
              <w:top w:val="nil"/>
              <w:left w:val="nil"/>
              <w:bottom w:val="single" w:sz="4" w:space="0" w:color="auto"/>
              <w:right w:val="single" w:sz="4" w:space="0" w:color="auto"/>
            </w:tcBorders>
            <w:shd w:val="clear" w:color="auto" w:fill="auto"/>
            <w:noWrap/>
            <w:vAlign w:val="bottom"/>
          </w:tcPr>
          <w:p w14:paraId="443A77EB" w14:textId="3B289BB8"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1</w:t>
            </w:r>
            <w:r>
              <w:rPr>
                <w:rFonts w:ascii="Calibri" w:eastAsia="Times New Roman" w:hAnsi="Calibri" w:cs="Calibri"/>
                <w:color w:val="000000"/>
                <w:lang w:eastAsia="et-EE"/>
              </w:rPr>
              <w:t>8</w:t>
            </w:r>
            <w:r w:rsidRPr="003962B3">
              <w:rPr>
                <w:rFonts w:ascii="Calibri" w:eastAsia="Times New Roman" w:hAnsi="Calibri" w:cs="Calibri"/>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tcPr>
          <w:p w14:paraId="12173CB4" w14:textId="63288010" w:rsidR="00B94F54" w:rsidRPr="003962B3" w:rsidRDefault="00B94F54" w:rsidP="007E4395">
            <w:pPr>
              <w:spacing w:after="0" w:line="240" w:lineRule="auto"/>
              <w:jc w:val="both"/>
              <w:rPr>
                <w:rFonts w:ascii="Calibri" w:eastAsia="Times New Roman" w:hAnsi="Calibri" w:cs="Calibri"/>
                <w:color w:val="000000"/>
                <w:lang w:eastAsia="et-EE"/>
              </w:rPr>
            </w:pPr>
            <w:r>
              <w:rPr>
                <w:rFonts w:ascii="Calibri" w:eastAsia="Times New Roman" w:hAnsi="Calibri" w:cs="Calibri"/>
                <w:color w:val="000000"/>
                <w:lang w:eastAsia="et-EE"/>
              </w:rPr>
              <w:t>587</w:t>
            </w:r>
            <w:r w:rsidRPr="003962B3">
              <w:rPr>
                <w:rFonts w:ascii="Calibri" w:eastAsia="Times New Roman" w:hAnsi="Calibri" w:cs="Calibri"/>
                <w:color w:val="000000"/>
                <w:lang w:eastAsia="et-EE"/>
              </w:rPr>
              <w:t>%</w:t>
            </w:r>
          </w:p>
        </w:tc>
      </w:tr>
      <w:tr w:rsidR="00B94F54" w:rsidRPr="003962B3" w14:paraId="18FD94F5" w14:textId="77777777" w:rsidTr="00B94F54">
        <w:trPr>
          <w:trHeight w:val="300"/>
        </w:trPr>
        <w:tc>
          <w:tcPr>
            <w:tcW w:w="422" w:type="dxa"/>
            <w:vMerge/>
            <w:tcBorders>
              <w:left w:val="single" w:sz="4" w:space="0" w:color="auto"/>
              <w:right w:val="single" w:sz="4" w:space="0" w:color="auto"/>
            </w:tcBorders>
          </w:tcPr>
          <w:p w14:paraId="7CBDA1E7"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11F90EAF" w14:textId="3B815D5C"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51</w:t>
            </w:r>
          </w:p>
        </w:tc>
        <w:tc>
          <w:tcPr>
            <w:tcW w:w="5278" w:type="dxa"/>
            <w:tcBorders>
              <w:top w:val="nil"/>
              <w:left w:val="nil"/>
              <w:bottom w:val="single" w:sz="4" w:space="0" w:color="auto"/>
              <w:right w:val="single" w:sz="4" w:space="0" w:color="auto"/>
            </w:tcBorders>
            <w:shd w:val="clear" w:color="auto" w:fill="auto"/>
            <w:noWrap/>
            <w:vAlign w:val="bottom"/>
          </w:tcPr>
          <w:p w14:paraId="1AB51B7B" w14:textId="6CE764FE"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Isikuteenindajad</w:t>
            </w:r>
          </w:p>
        </w:tc>
        <w:tc>
          <w:tcPr>
            <w:tcW w:w="1394" w:type="dxa"/>
            <w:tcBorders>
              <w:top w:val="nil"/>
              <w:left w:val="nil"/>
              <w:bottom w:val="single" w:sz="4" w:space="0" w:color="auto"/>
              <w:right w:val="single" w:sz="4" w:space="0" w:color="auto"/>
            </w:tcBorders>
            <w:shd w:val="clear" w:color="auto" w:fill="auto"/>
            <w:noWrap/>
            <w:vAlign w:val="bottom"/>
          </w:tcPr>
          <w:p w14:paraId="30EBF13C" w14:textId="30A5C3F9" w:rsidR="00B94F54" w:rsidRPr="003962B3" w:rsidRDefault="00B94F54" w:rsidP="007E4395">
            <w:pPr>
              <w:spacing w:after="0" w:line="240" w:lineRule="auto"/>
              <w:jc w:val="both"/>
              <w:rPr>
                <w:rFonts w:ascii="Calibri" w:eastAsia="Times New Roman" w:hAnsi="Calibri" w:cs="Calibri"/>
                <w:color w:val="000000"/>
                <w:lang w:eastAsia="et-EE"/>
              </w:rPr>
            </w:pPr>
            <w:r>
              <w:rPr>
                <w:rFonts w:ascii="Calibri" w:eastAsia="Times New Roman" w:hAnsi="Calibri" w:cs="Calibri"/>
                <w:color w:val="000000"/>
                <w:lang w:eastAsia="et-EE"/>
              </w:rPr>
              <w:t>18</w:t>
            </w:r>
            <w:r w:rsidRPr="003962B3">
              <w:rPr>
                <w:rFonts w:ascii="Calibri" w:eastAsia="Times New Roman" w:hAnsi="Calibri" w:cs="Calibri"/>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tcPr>
          <w:p w14:paraId="6692636F" w14:textId="7ECD10BA"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6</w:t>
            </w:r>
            <w:r>
              <w:rPr>
                <w:rFonts w:ascii="Calibri" w:eastAsia="Times New Roman" w:hAnsi="Calibri" w:cs="Calibri"/>
                <w:color w:val="000000"/>
                <w:lang w:eastAsia="et-EE"/>
              </w:rPr>
              <w:t>1</w:t>
            </w:r>
            <w:r w:rsidRPr="003962B3">
              <w:rPr>
                <w:rFonts w:ascii="Calibri" w:eastAsia="Times New Roman" w:hAnsi="Calibri" w:cs="Calibri"/>
                <w:color w:val="000000"/>
                <w:lang w:eastAsia="et-EE"/>
              </w:rPr>
              <w:t>%</w:t>
            </w:r>
          </w:p>
        </w:tc>
      </w:tr>
      <w:tr w:rsidR="00B94F54" w:rsidRPr="003962B3" w14:paraId="45EBE81B" w14:textId="77777777" w:rsidTr="00B94F54">
        <w:trPr>
          <w:trHeight w:val="300"/>
        </w:trPr>
        <w:tc>
          <w:tcPr>
            <w:tcW w:w="422" w:type="dxa"/>
            <w:vMerge/>
            <w:tcBorders>
              <w:left w:val="single" w:sz="4" w:space="0" w:color="auto"/>
              <w:right w:val="single" w:sz="4" w:space="0" w:color="auto"/>
            </w:tcBorders>
          </w:tcPr>
          <w:p w14:paraId="501B273D"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3CBD270D" w14:textId="62D05391"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93</w:t>
            </w:r>
          </w:p>
        </w:tc>
        <w:tc>
          <w:tcPr>
            <w:tcW w:w="5278" w:type="dxa"/>
            <w:tcBorders>
              <w:top w:val="nil"/>
              <w:left w:val="nil"/>
              <w:bottom w:val="single" w:sz="4" w:space="0" w:color="auto"/>
              <w:right w:val="single" w:sz="4" w:space="0" w:color="auto"/>
            </w:tcBorders>
            <w:shd w:val="clear" w:color="auto" w:fill="auto"/>
            <w:noWrap/>
            <w:vAlign w:val="bottom"/>
          </w:tcPr>
          <w:p w14:paraId="3F8FFA09" w14:textId="6D22BEE2" w:rsidR="00B94F54" w:rsidRPr="003962B3"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Mäe-, ehitus-, tootmis- ja veonduslihttöölised</w:t>
            </w:r>
          </w:p>
        </w:tc>
        <w:tc>
          <w:tcPr>
            <w:tcW w:w="1394" w:type="dxa"/>
            <w:tcBorders>
              <w:top w:val="nil"/>
              <w:left w:val="nil"/>
              <w:bottom w:val="single" w:sz="4" w:space="0" w:color="auto"/>
              <w:right w:val="single" w:sz="4" w:space="0" w:color="auto"/>
            </w:tcBorders>
            <w:shd w:val="clear" w:color="auto" w:fill="auto"/>
            <w:noWrap/>
            <w:vAlign w:val="bottom"/>
          </w:tcPr>
          <w:p w14:paraId="1177FCB8" w14:textId="6901E2CE" w:rsidR="00B94F54" w:rsidRDefault="00B94F54" w:rsidP="007E4395">
            <w:pPr>
              <w:spacing w:after="0" w:line="240" w:lineRule="auto"/>
              <w:jc w:val="both"/>
              <w:rPr>
                <w:rFonts w:ascii="Calibri" w:eastAsia="Times New Roman" w:hAnsi="Calibri" w:cs="Calibri"/>
                <w:color w:val="000000"/>
                <w:lang w:eastAsia="et-EE"/>
              </w:rPr>
            </w:pPr>
            <w:r w:rsidRPr="003962B3">
              <w:rPr>
                <w:rFonts w:ascii="Calibri" w:eastAsia="Times New Roman" w:hAnsi="Calibri" w:cs="Calibri"/>
                <w:color w:val="000000"/>
                <w:lang w:eastAsia="et-EE"/>
              </w:rPr>
              <w:t>1</w:t>
            </w:r>
            <w:r>
              <w:rPr>
                <w:rFonts w:ascii="Calibri" w:eastAsia="Times New Roman" w:hAnsi="Calibri" w:cs="Calibri"/>
                <w:color w:val="000000"/>
                <w:lang w:eastAsia="et-EE"/>
              </w:rPr>
              <w:t>6</w:t>
            </w:r>
            <w:r w:rsidRPr="003962B3">
              <w:rPr>
                <w:rFonts w:ascii="Calibri" w:eastAsia="Times New Roman" w:hAnsi="Calibri" w:cs="Calibri"/>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tcPr>
          <w:p w14:paraId="4326E354" w14:textId="0866D8AC" w:rsidR="00B94F54" w:rsidRPr="003962B3" w:rsidRDefault="00B94F54" w:rsidP="007E4395">
            <w:pPr>
              <w:spacing w:after="0" w:line="240" w:lineRule="auto"/>
              <w:jc w:val="both"/>
              <w:rPr>
                <w:rFonts w:ascii="Calibri" w:eastAsia="Times New Roman" w:hAnsi="Calibri" w:cs="Calibri"/>
                <w:color w:val="000000"/>
                <w:lang w:eastAsia="et-EE"/>
              </w:rPr>
            </w:pPr>
            <w:r>
              <w:rPr>
                <w:rFonts w:ascii="Calibri" w:eastAsia="Times New Roman" w:hAnsi="Calibri" w:cs="Calibri"/>
                <w:color w:val="000000"/>
                <w:lang w:eastAsia="et-EE"/>
              </w:rPr>
              <w:t>584</w:t>
            </w:r>
            <w:r w:rsidRPr="003962B3">
              <w:rPr>
                <w:rFonts w:ascii="Calibri" w:eastAsia="Times New Roman" w:hAnsi="Calibri" w:cs="Calibri"/>
                <w:color w:val="000000"/>
                <w:lang w:eastAsia="et-EE"/>
              </w:rPr>
              <w:t>%</w:t>
            </w:r>
          </w:p>
        </w:tc>
      </w:tr>
      <w:tr w:rsidR="00B94F54" w:rsidRPr="003962B3" w14:paraId="2C85ED02" w14:textId="77777777" w:rsidTr="00B94F54">
        <w:trPr>
          <w:trHeight w:val="300"/>
        </w:trPr>
        <w:tc>
          <w:tcPr>
            <w:tcW w:w="422" w:type="dxa"/>
            <w:vMerge/>
            <w:tcBorders>
              <w:left w:val="single" w:sz="4" w:space="0" w:color="auto"/>
              <w:bottom w:val="single" w:sz="4" w:space="0" w:color="auto"/>
              <w:right w:val="single" w:sz="4" w:space="0" w:color="auto"/>
            </w:tcBorders>
          </w:tcPr>
          <w:p w14:paraId="5348499A" w14:textId="77777777" w:rsidR="00B94F54" w:rsidRPr="003962B3" w:rsidRDefault="00B94F54" w:rsidP="007E4395">
            <w:pPr>
              <w:spacing w:after="0" w:line="240" w:lineRule="auto"/>
              <w:jc w:val="both"/>
              <w:rPr>
                <w:rFonts w:ascii="Calibri" w:eastAsia="Times New Roman" w:hAnsi="Calibri" w:cs="Calibri"/>
                <w:color w:val="000000"/>
                <w:lang w:eastAsia="et-EE"/>
              </w:rPr>
            </w:pPr>
          </w:p>
        </w:tc>
        <w:tc>
          <w:tcPr>
            <w:tcW w:w="712" w:type="dxa"/>
            <w:tcBorders>
              <w:top w:val="nil"/>
              <w:left w:val="single" w:sz="4" w:space="0" w:color="auto"/>
              <w:bottom w:val="single" w:sz="4" w:space="0" w:color="auto"/>
              <w:right w:val="single" w:sz="4" w:space="0" w:color="auto"/>
            </w:tcBorders>
            <w:shd w:val="clear" w:color="auto" w:fill="auto"/>
            <w:noWrap/>
            <w:vAlign w:val="bottom"/>
          </w:tcPr>
          <w:p w14:paraId="173C878B" w14:textId="51701653" w:rsidR="00B94F54" w:rsidRPr="003962B3" w:rsidRDefault="00B94F54" w:rsidP="007E4395">
            <w:pPr>
              <w:spacing w:after="0" w:line="240" w:lineRule="auto"/>
              <w:jc w:val="both"/>
              <w:rPr>
                <w:rFonts w:ascii="Calibri" w:eastAsia="Times New Roman" w:hAnsi="Calibri" w:cs="Calibri"/>
                <w:color w:val="000000"/>
                <w:lang w:eastAsia="et-EE"/>
              </w:rPr>
            </w:pPr>
            <w:r>
              <w:rPr>
                <w:rFonts w:ascii="Calibri" w:eastAsia="Times New Roman" w:hAnsi="Calibri" w:cs="Calibri"/>
                <w:color w:val="000000"/>
                <w:lang w:eastAsia="et-EE"/>
              </w:rPr>
              <w:t>54</w:t>
            </w:r>
          </w:p>
        </w:tc>
        <w:tc>
          <w:tcPr>
            <w:tcW w:w="5278" w:type="dxa"/>
            <w:tcBorders>
              <w:top w:val="nil"/>
              <w:left w:val="nil"/>
              <w:bottom w:val="single" w:sz="4" w:space="0" w:color="auto"/>
              <w:right w:val="single" w:sz="4" w:space="0" w:color="auto"/>
            </w:tcBorders>
            <w:shd w:val="clear" w:color="auto" w:fill="auto"/>
            <w:noWrap/>
            <w:vAlign w:val="bottom"/>
          </w:tcPr>
          <w:p w14:paraId="082896DF" w14:textId="5E2DC6F5" w:rsidR="00B94F54" w:rsidRPr="003962B3" w:rsidRDefault="00B94F54" w:rsidP="007E4395">
            <w:pPr>
              <w:spacing w:after="0" w:line="240" w:lineRule="auto"/>
              <w:jc w:val="both"/>
              <w:rPr>
                <w:rFonts w:ascii="Calibri" w:eastAsia="Times New Roman" w:hAnsi="Calibri" w:cs="Calibri"/>
                <w:color w:val="000000"/>
                <w:lang w:eastAsia="et-EE"/>
              </w:rPr>
            </w:pPr>
            <w:r w:rsidRPr="00B94F54">
              <w:rPr>
                <w:rFonts w:ascii="Calibri" w:eastAsia="Times New Roman" w:hAnsi="Calibri" w:cs="Calibri"/>
                <w:color w:val="000000"/>
                <w:lang w:eastAsia="et-EE"/>
              </w:rPr>
              <w:t>Kaitseteenindajad</w:t>
            </w:r>
          </w:p>
        </w:tc>
        <w:tc>
          <w:tcPr>
            <w:tcW w:w="1394" w:type="dxa"/>
            <w:tcBorders>
              <w:top w:val="nil"/>
              <w:left w:val="nil"/>
              <w:bottom w:val="single" w:sz="4" w:space="0" w:color="auto"/>
              <w:right w:val="single" w:sz="4" w:space="0" w:color="auto"/>
            </w:tcBorders>
            <w:shd w:val="clear" w:color="auto" w:fill="auto"/>
            <w:noWrap/>
            <w:vAlign w:val="bottom"/>
          </w:tcPr>
          <w:p w14:paraId="1830A568" w14:textId="4C69B9D0" w:rsidR="00B94F54" w:rsidRPr="003962B3" w:rsidRDefault="00B94F54" w:rsidP="007E4395">
            <w:pPr>
              <w:spacing w:after="0" w:line="240" w:lineRule="auto"/>
              <w:jc w:val="both"/>
              <w:rPr>
                <w:rFonts w:ascii="Calibri" w:eastAsia="Times New Roman" w:hAnsi="Calibri" w:cs="Calibri"/>
                <w:color w:val="000000"/>
                <w:lang w:eastAsia="et-EE"/>
              </w:rPr>
            </w:pPr>
            <w:r>
              <w:rPr>
                <w:rFonts w:ascii="Calibri" w:eastAsia="Times New Roman" w:hAnsi="Calibri" w:cs="Calibri"/>
                <w:color w:val="000000"/>
                <w:lang w:eastAsia="et-EE"/>
              </w:rPr>
              <w:t>140</w:t>
            </w:r>
          </w:p>
        </w:tc>
        <w:tc>
          <w:tcPr>
            <w:tcW w:w="1256" w:type="dxa"/>
            <w:tcBorders>
              <w:top w:val="nil"/>
              <w:left w:val="nil"/>
              <w:bottom w:val="single" w:sz="4" w:space="0" w:color="auto"/>
              <w:right w:val="single" w:sz="4" w:space="0" w:color="auto"/>
            </w:tcBorders>
            <w:shd w:val="clear" w:color="auto" w:fill="auto"/>
            <w:noWrap/>
            <w:vAlign w:val="bottom"/>
          </w:tcPr>
          <w:p w14:paraId="1D4649B2" w14:textId="72B39C88" w:rsidR="00B94F54" w:rsidRPr="003962B3" w:rsidRDefault="00B94F54" w:rsidP="007E4395">
            <w:pPr>
              <w:spacing w:after="0" w:line="240" w:lineRule="auto"/>
              <w:jc w:val="both"/>
              <w:rPr>
                <w:rFonts w:ascii="Calibri" w:eastAsia="Times New Roman" w:hAnsi="Calibri" w:cs="Calibri"/>
                <w:color w:val="000000"/>
                <w:lang w:eastAsia="et-EE"/>
              </w:rPr>
            </w:pPr>
            <w:r>
              <w:rPr>
                <w:rFonts w:ascii="Calibri" w:eastAsia="Times New Roman" w:hAnsi="Calibri" w:cs="Calibri"/>
                <w:color w:val="000000"/>
                <w:lang w:eastAsia="et-EE"/>
              </w:rPr>
              <w:t>453%</w:t>
            </w:r>
          </w:p>
        </w:tc>
      </w:tr>
    </w:tbl>
    <w:p w14:paraId="28E23A2C" w14:textId="11C1BB11" w:rsidR="00F36D3F" w:rsidRDefault="00F36D3F" w:rsidP="007E4395">
      <w:pPr>
        <w:jc w:val="both"/>
      </w:pPr>
      <w:r>
        <w:t>Allikad: Statistikaamet, MKM, OSKA</w:t>
      </w:r>
      <w:r>
        <w:rPr>
          <w:rStyle w:val="Allmrkuseviide"/>
        </w:rPr>
        <w:footnoteReference w:id="14"/>
      </w:r>
      <w:r>
        <w:t>.</w:t>
      </w:r>
    </w:p>
    <w:p w14:paraId="503231DF" w14:textId="36762DDB" w:rsidR="00F36D3F" w:rsidRDefault="00F36D3F" w:rsidP="007E4395">
      <w:pPr>
        <w:jc w:val="both"/>
      </w:pPr>
      <w:r>
        <w:t xml:space="preserve">Detailsemad hinnangud (4-kohalise ametiala tasandil, samuti õppekavarühmade lõikes) on leitavad </w:t>
      </w:r>
      <w:hyperlink r:id="rId9" w:history="1">
        <w:r w:rsidRPr="00B94F54">
          <w:rPr>
            <w:rStyle w:val="Hperlink"/>
          </w:rPr>
          <w:t>tööjõuprognoosi visualiseeritud andmestikust</w:t>
        </w:r>
      </w:hyperlink>
      <w:r>
        <w:t>.</w:t>
      </w:r>
    </w:p>
    <w:p w14:paraId="09DE78AA" w14:textId="77777777" w:rsidR="00F36D3F" w:rsidRDefault="00F36D3F" w:rsidP="007E4395">
      <w:pPr>
        <w:jc w:val="both"/>
        <w:rPr>
          <w:b/>
        </w:rPr>
      </w:pPr>
      <w:r>
        <w:rPr>
          <w:b/>
        </w:rPr>
        <w:br w:type="page"/>
      </w:r>
    </w:p>
    <w:p w14:paraId="36C7BA98" w14:textId="77777777" w:rsidR="00F36D3F" w:rsidRDefault="00F36D3F" w:rsidP="007E4395">
      <w:pPr>
        <w:jc w:val="both"/>
      </w:pPr>
      <w:r w:rsidRPr="00510387">
        <w:rPr>
          <w:b/>
        </w:rPr>
        <w:lastRenderedPageBreak/>
        <w:t xml:space="preserve">Lisa </w:t>
      </w:r>
      <w:r>
        <w:rPr>
          <w:b/>
        </w:rPr>
        <w:t>2</w:t>
      </w:r>
      <w:r>
        <w:t>. Tööturu näitajad tegevusalade lõikes</w:t>
      </w:r>
    </w:p>
    <w:tbl>
      <w:tblPr>
        <w:tblStyle w:val="Kontuurtabel"/>
        <w:tblW w:w="9351" w:type="dxa"/>
        <w:tblLook w:val="04A0" w:firstRow="1" w:lastRow="0" w:firstColumn="1" w:lastColumn="0" w:noHBand="0" w:noVBand="1"/>
      </w:tblPr>
      <w:tblGrid>
        <w:gridCol w:w="1944"/>
        <w:gridCol w:w="861"/>
        <w:gridCol w:w="1030"/>
        <w:gridCol w:w="1080"/>
        <w:gridCol w:w="1340"/>
        <w:gridCol w:w="1126"/>
        <w:gridCol w:w="842"/>
        <w:gridCol w:w="1128"/>
      </w:tblGrid>
      <w:tr w:rsidR="005C702F" w14:paraId="3CA744D3" w14:textId="77777777" w:rsidTr="005C702F">
        <w:tc>
          <w:tcPr>
            <w:tcW w:w="1944" w:type="dxa"/>
            <w:vAlign w:val="bottom"/>
          </w:tcPr>
          <w:p w14:paraId="274E32D6" w14:textId="77777777" w:rsidR="00F36D3F" w:rsidRDefault="00F36D3F" w:rsidP="007E4395">
            <w:pPr>
              <w:jc w:val="both"/>
              <w:rPr>
                <w:rFonts w:ascii="Calibri" w:hAnsi="Calibri" w:cs="Calibri"/>
                <w:color w:val="000000"/>
              </w:rPr>
            </w:pPr>
            <w:r>
              <w:rPr>
                <w:rFonts w:ascii="Calibri" w:hAnsi="Calibri" w:cs="Calibri"/>
                <w:color w:val="000000"/>
              </w:rPr>
              <w:t>Tegevusala</w:t>
            </w:r>
          </w:p>
        </w:tc>
        <w:tc>
          <w:tcPr>
            <w:tcW w:w="861" w:type="dxa"/>
          </w:tcPr>
          <w:p w14:paraId="7E00F881" w14:textId="77777777" w:rsidR="00F36D3F" w:rsidRDefault="00F36D3F" w:rsidP="007E4395">
            <w:pPr>
              <w:jc w:val="both"/>
            </w:pPr>
            <w:r>
              <w:t>EMTAK</w:t>
            </w:r>
          </w:p>
        </w:tc>
        <w:tc>
          <w:tcPr>
            <w:tcW w:w="1030" w:type="dxa"/>
          </w:tcPr>
          <w:p w14:paraId="064A78FC" w14:textId="5E8E7878" w:rsidR="00F36D3F" w:rsidRDefault="00F36D3F" w:rsidP="007E4395">
            <w:pPr>
              <w:jc w:val="both"/>
            </w:pPr>
            <w:r>
              <w:t>Hõivatud 201</w:t>
            </w:r>
            <w:r w:rsidR="00725A7F">
              <w:t>7–20</w:t>
            </w:r>
            <w:r>
              <w:t>1</w:t>
            </w:r>
            <w:r w:rsidR="00725A7F">
              <w:t>9</w:t>
            </w:r>
            <w:r>
              <w:t>, tuhat</w:t>
            </w:r>
          </w:p>
        </w:tc>
        <w:tc>
          <w:tcPr>
            <w:tcW w:w="1053" w:type="dxa"/>
          </w:tcPr>
          <w:p w14:paraId="7210026F" w14:textId="28AB4166" w:rsidR="00F36D3F" w:rsidRPr="00FD44B2" w:rsidRDefault="00F36D3F" w:rsidP="007E4395">
            <w:pPr>
              <w:jc w:val="both"/>
            </w:pPr>
            <w:proofErr w:type="spellStart"/>
            <w:r w:rsidRPr="00FD44B2">
              <w:t>Puudu</w:t>
            </w:r>
            <w:r>
              <w:t>-</w:t>
            </w:r>
            <w:r w:rsidRPr="00FD44B2">
              <w:t>jääk</w:t>
            </w:r>
            <w:proofErr w:type="spellEnd"/>
            <w:r w:rsidRPr="00FD44B2">
              <w:t xml:space="preserve"> aastas 201</w:t>
            </w:r>
            <w:r w:rsidR="00896089">
              <w:t>7</w:t>
            </w:r>
            <w:r w:rsidRPr="00FD44B2">
              <w:t>/1</w:t>
            </w:r>
            <w:r w:rsidR="00896089">
              <w:t>9–</w:t>
            </w:r>
            <w:r w:rsidRPr="00FD44B2">
              <w:t>202</w:t>
            </w:r>
            <w:r w:rsidR="00896089">
              <w:t>8</w:t>
            </w:r>
            <w:r w:rsidRPr="00FD44B2">
              <w:t xml:space="preserve"> (noored,</w:t>
            </w:r>
            <w:r w:rsidR="005C702F">
              <w:t xml:space="preserve"> </w:t>
            </w:r>
            <w:r w:rsidRPr="00FD44B2">
              <w:t xml:space="preserve"> kutse- ja </w:t>
            </w:r>
            <w:proofErr w:type="spellStart"/>
            <w:r w:rsidRPr="00FD44B2">
              <w:t>kõrg</w:t>
            </w:r>
            <w:r>
              <w:t>-</w:t>
            </w:r>
            <w:r w:rsidRPr="00FD44B2">
              <w:t>haridus</w:t>
            </w:r>
            <w:proofErr w:type="spellEnd"/>
            <w:r w:rsidRPr="00FD44B2">
              <w:t>)</w:t>
            </w:r>
          </w:p>
        </w:tc>
        <w:tc>
          <w:tcPr>
            <w:tcW w:w="1344" w:type="dxa"/>
          </w:tcPr>
          <w:p w14:paraId="6B3A4093" w14:textId="4CE886F1" w:rsidR="00F36D3F" w:rsidRDefault="00F36D3F" w:rsidP="007E4395">
            <w:pPr>
              <w:jc w:val="both"/>
            </w:pPr>
            <w:r w:rsidRPr="00FD44B2">
              <w:t xml:space="preserve">Tähtajalise elamisloa töötamiseks </w:t>
            </w:r>
            <w:r w:rsidR="005C702F">
              <w:t xml:space="preserve">ja </w:t>
            </w:r>
            <w:proofErr w:type="spellStart"/>
            <w:r w:rsidR="005C702F">
              <w:t>ette-võtluseks</w:t>
            </w:r>
            <w:proofErr w:type="spellEnd"/>
            <w:r w:rsidR="005C702F">
              <w:t xml:space="preserve"> </w:t>
            </w:r>
            <w:r w:rsidRPr="00FD44B2">
              <w:t xml:space="preserve">andmise otsused </w:t>
            </w:r>
            <w:r w:rsidR="00D6465B">
              <w:t>2019–2020 keskmine</w:t>
            </w:r>
          </w:p>
        </w:tc>
        <w:tc>
          <w:tcPr>
            <w:tcW w:w="1134" w:type="dxa"/>
          </w:tcPr>
          <w:p w14:paraId="1C1D5479" w14:textId="3FA786C7" w:rsidR="00F36D3F" w:rsidRDefault="00F36D3F" w:rsidP="007E4395">
            <w:pPr>
              <w:jc w:val="both"/>
            </w:pPr>
            <w:proofErr w:type="spellStart"/>
            <w:r>
              <w:rPr>
                <w:rFonts w:ascii="Calibri" w:hAnsi="Calibri" w:cs="Calibri"/>
                <w:color w:val="000000"/>
              </w:rPr>
              <w:t>Lühi-ajalise</w:t>
            </w:r>
            <w:proofErr w:type="spellEnd"/>
            <w:r>
              <w:rPr>
                <w:rFonts w:ascii="Calibri" w:hAnsi="Calibri" w:cs="Calibri"/>
                <w:color w:val="000000"/>
              </w:rPr>
              <w:t xml:space="preserve"> </w:t>
            </w:r>
            <w:proofErr w:type="spellStart"/>
            <w:r>
              <w:rPr>
                <w:rFonts w:ascii="Calibri" w:hAnsi="Calibri" w:cs="Calibri"/>
                <w:color w:val="000000"/>
              </w:rPr>
              <w:t>tööta-mise</w:t>
            </w:r>
            <w:proofErr w:type="spellEnd"/>
            <w:r>
              <w:rPr>
                <w:rFonts w:ascii="Calibri" w:hAnsi="Calibri" w:cs="Calibri"/>
                <w:color w:val="000000"/>
              </w:rPr>
              <w:t xml:space="preserve"> </w:t>
            </w:r>
            <w:proofErr w:type="spellStart"/>
            <w:r>
              <w:rPr>
                <w:rFonts w:ascii="Calibri" w:hAnsi="Calibri" w:cs="Calibri"/>
                <w:color w:val="000000"/>
              </w:rPr>
              <w:t>regist-reerimise</w:t>
            </w:r>
            <w:proofErr w:type="spellEnd"/>
            <w:r>
              <w:rPr>
                <w:rFonts w:ascii="Calibri" w:hAnsi="Calibri" w:cs="Calibri"/>
                <w:color w:val="000000"/>
              </w:rPr>
              <w:t xml:space="preserve"> otsused </w:t>
            </w:r>
            <w:r w:rsidR="00D6465B">
              <w:t xml:space="preserve">2019–2020 keskmine </w:t>
            </w:r>
          </w:p>
        </w:tc>
        <w:tc>
          <w:tcPr>
            <w:tcW w:w="851" w:type="dxa"/>
          </w:tcPr>
          <w:p w14:paraId="2C3E5A42" w14:textId="1B9D3DFD" w:rsidR="00F36D3F" w:rsidRDefault="00F36D3F" w:rsidP="007E4395">
            <w:pPr>
              <w:jc w:val="both"/>
            </w:pPr>
            <w:proofErr w:type="spellStart"/>
            <w:r>
              <w:t>Välis-maal</w:t>
            </w:r>
            <w:proofErr w:type="spellEnd"/>
            <w:r>
              <w:t xml:space="preserve"> </w:t>
            </w:r>
            <w:proofErr w:type="spellStart"/>
            <w:r>
              <w:t>tööta-jate</w:t>
            </w:r>
            <w:proofErr w:type="spellEnd"/>
            <w:r>
              <w:t xml:space="preserve"> arv 201</w:t>
            </w:r>
            <w:r w:rsidR="00725A7F">
              <w:t>7</w:t>
            </w:r>
            <w:r w:rsidR="00D6465B">
              <w:t>–20</w:t>
            </w:r>
            <w:r w:rsidR="00725A7F">
              <w:t>19</w:t>
            </w:r>
            <w:r>
              <w:t>, tuhat</w:t>
            </w:r>
          </w:p>
        </w:tc>
        <w:tc>
          <w:tcPr>
            <w:tcW w:w="1134" w:type="dxa"/>
          </w:tcPr>
          <w:p w14:paraId="6F196792" w14:textId="3C4505F4" w:rsidR="00F36D3F" w:rsidRDefault="00F36D3F" w:rsidP="007E4395">
            <w:pPr>
              <w:jc w:val="both"/>
            </w:pPr>
            <w:r>
              <w:t>Keskmine palk 20</w:t>
            </w:r>
            <w:r w:rsidR="00D6465B">
              <w:t>20</w:t>
            </w:r>
            <w:r>
              <w:t>, eurot</w:t>
            </w:r>
          </w:p>
        </w:tc>
      </w:tr>
      <w:tr w:rsidR="005C702F" w14:paraId="44CD0F19" w14:textId="77777777" w:rsidTr="005C702F">
        <w:tc>
          <w:tcPr>
            <w:tcW w:w="1944" w:type="dxa"/>
            <w:vAlign w:val="bottom"/>
          </w:tcPr>
          <w:p w14:paraId="780824FF" w14:textId="77777777" w:rsidR="005C702F" w:rsidRDefault="005C702F" w:rsidP="007E4395">
            <w:pPr>
              <w:jc w:val="both"/>
              <w:rPr>
                <w:rFonts w:ascii="Calibri" w:hAnsi="Calibri" w:cs="Calibri"/>
                <w:color w:val="000000"/>
              </w:rPr>
            </w:pPr>
            <w:r>
              <w:rPr>
                <w:rFonts w:ascii="Calibri" w:hAnsi="Calibri" w:cs="Calibri"/>
                <w:color w:val="000000"/>
              </w:rPr>
              <w:t>Põllumajandus, metsamajandus ja kalapüük</w:t>
            </w:r>
          </w:p>
        </w:tc>
        <w:tc>
          <w:tcPr>
            <w:tcW w:w="861" w:type="dxa"/>
            <w:vAlign w:val="bottom"/>
          </w:tcPr>
          <w:p w14:paraId="6B803C60" w14:textId="77777777" w:rsidR="005C702F" w:rsidRDefault="005C702F" w:rsidP="007E4395">
            <w:pPr>
              <w:jc w:val="both"/>
              <w:rPr>
                <w:rFonts w:ascii="Calibri" w:hAnsi="Calibri" w:cs="Calibri"/>
                <w:color w:val="000000"/>
              </w:rPr>
            </w:pPr>
            <w:r>
              <w:rPr>
                <w:rFonts w:ascii="Calibri" w:hAnsi="Calibri" w:cs="Calibri"/>
                <w:color w:val="000000"/>
              </w:rPr>
              <w:t>1-3</w:t>
            </w:r>
          </w:p>
        </w:tc>
        <w:tc>
          <w:tcPr>
            <w:tcW w:w="1030" w:type="dxa"/>
            <w:vAlign w:val="bottom"/>
          </w:tcPr>
          <w:p w14:paraId="319924E3" w14:textId="63C74F43" w:rsidR="005C702F" w:rsidRDefault="005C702F" w:rsidP="007E4395">
            <w:pPr>
              <w:jc w:val="both"/>
              <w:rPr>
                <w:rFonts w:ascii="Calibri" w:hAnsi="Calibri" w:cs="Calibri"/>
                <w:color w:val="000000"/>
              </w:rPr>
            </w:pPr>
            <w:r>
              <w:rPr>
                <w:rFonts w:ascii="Calibri" w:hAnsi="Calibri" w:cs="Calibri"/>
                <w:color w:val="000000"/>
              </w:rPr>
              <w:t>22,1</w:t>
            </w:r>
          </w:p>
        </w:tc>
        <w:tc>
          <w:tcPr>
            <w:tcW w:w="1053" w:type="dxa"/>
            <w:vAlign w:val="bottom"/>
          </w:tcPr>
          <w:p w14:paraId="5B28F599" w14:textId="021D3A41" w:rsidR="005C702F" w:rsidRDefault="005C702F" w:rsidP="007E4395">
            <w:pPr>
              <w:jc w:val="both"/>
              <w:rPr>
                <w:rFonts w:ascii="Calibri" w:hAnsi="Calibri" w:cs="Calibri"/>
                <w:color w:val="000000"/>
              </w:rPr>
            </w:pPr>
            <w:r>
              <w:rPr>
                <w:rFonts w:ascii="Calibri" w:hAnsi="Calibri" w:cs="Calibri"/>
                <w:color w:val="000000"/>
              </w:rPr>
              <w:t>103</w:t>
            </w:r>
          </w:p>
        </w:tc>
        <w:tc>
          <w:tcPr>
            <w:tcW w:w="1344" w:type="dxa"/>
            <w:vAlign w:val="bottom"/>
          </w:tcPr>
          <w:p w14:paraId="4D62E651" w14:textId="4677ED35" w:rsidR="005C702F" w:rsidRDefault="005C702F" w:rsidP="007E4395">
            <w:pPr>
              <w:jc w:val="both"/>
              <w:rPr>
                <w:rFonts w:ascii="Calibri" w:hAnsi="Calibri" w:cs="Calibri"/>
                <w:color w:val="000000"/>
              </w:rPr>
            </w:pPr>
            <w:r>
              <w:rPr>
                <w:rFonts w:ascii="Calibri" w:hAnsi="Calibri" w:cs="Calibri"/>
                <w:color w:val="000000"/>
              </w:rPr>
              <w:t>29</w:t>
            </w:r>
          </w:p>
        </w:tc>
        <w:tc>
          <w:tcPr>
            <w:tcW w:w="1134" w:type="dxa"/>
            <w:vAlign w:val="bottom"/>
          </w:tcPr>
          <w:p w14:paraId="662A954E" w14:textId="39F3691C" w:rsidR="005C702F" w:rsidRDefault="005C702F" w:rsidP="007E4395">
            <w:pPr>
              <w:jc w:val="both"/>
              <w:rPr>
                <w:rFonts w:ascii="Calibri" w:hAnsi="Calibri" w:cs="Calibri"/>
                <w:color w:val="000000"/>
              </w:rPr>
            </w:pPr>
            <w:r>
              <w:rPr>
                <w:rFonts w:ascii="Calibri" w:hAnsi="Calibri" w:cs="Calibri"/>
                <w:color w:val="000000"/>
              </w:rPr>
              <w:t>2922</w:t>
            </w:r>
          </w:p>
        </w:tc>
        <w:tc>
          <w:tcPr>
            <w:tcW w:w="851" w:type="dxa"/>
            <w:vAlign w:val="bottom"/>
          </w:tcPr>
          <w:p w14:paraId="0AAEB00D" w14:textId="5093C155" w:rsidR="005C702F" w:rsidRDefault="005C702F" w:rsidP="007E4395">
            <w:pPr>
              <w:jc w:val="both"/>
              <w:rPr>
                <w:rFonts w:ascii="Calibri" w:hAnsi="Calibri" w:cs="Calibri"/>
                <w:color w:val="000000"/>
              </w:rPr>
            </w:pPr>
            <w:r>
              <w:rPr>
                <w:rFonts w:ascii="Calibri" w:hAnsi="Calibri" w:cs="Calibri"/>
                <w:color w:val="000000"/>
              </w:rPr>
              <w:t>0,6</w:t>
            </w:r>
          </w:p>
        </w:tc>
        <w:tc>
          <w:tcPr>
            <w:tcW w:w="1134" w:type="dxa"/>
            <w:vAlign w:val="bottom"/>
          </w:tcPr>
          <w:p w14:paraId="6AA4869C" w14:textId="014C9E48" w:rsidR="005C702F" w:rsidRDefault="005C702F" w:rsidP="007E4395">
            <w:pPr>
              <w:jc w:val="both"/>
              <w:rPr>
                <w:rFonts w:ascii="Calibri" w:hAnsi="Calibri" w:cs="Calibri"/>
                <w:color w:val="000000"/>
              </w:rPr>
            </w:pPr>
            <w:r>
              <w:rPr>
                <w:rFonts w:ascii="Calibri" w:hAnsi="Calibri" w:cs="Calibri"/>
                <w:color w:val="000000"/>
              </w:rPr>
              <w:t>1202</w:t>
            </w:r>
          </w:p>
        </w:tc>
      </w:tr>
      <w:tr w:rsidR="005C702F" w14:paraId="7F6FADA5" w14:textId="77777777" w:rsidTr="005C702F">
        <w:tc>
          <w:tcPr>
            <w:tcW w:w="1944" w:type="dxa"/>
            <w:vAlign w:val="bottom"/>
          </w:tcPr>
          <w:p w14:paraId="09C918AA" w14:textId="77777777" w:rsidR="005C702F" w:rsidRDefault="005C702F" w:rsidP="007E4395">
            <w:pPr>
              <w:jc w:val="both"/>
              <w:rPr>
                <w:rFonts w:ascii="Calibri" w:hAnsi="Calibri" w:cs="Calibri"/>
                <w:color w:val="000000"/>
              </w:rPr>
            </w:pPr>
            <w:r>
              <w:rPr>
                <w:rFonts w:ascii="Calibri" w:hAnsi="Calibri" w:cs="Calibri"/>
                <w:color w:val="000000"/>
              </w:rPr>
              <w:t>Mäetööstus</w:t>
            </w:r>
          </w:p>
        </w:tc>
        <w:tc>
          <w:tcPr>
            <w:tcW w:w="861" w:type="dxa"/>
            <w:vAlign w:val="bottom"/>
          </w:tcPr>
          <w:p w14:paraId="02C3D86D" w14:textId="77777777" w:rsidR="005C702F" w:rsidRDefault="005C702F" w:rsidP="007E4395">
            <w:pPr>
              <w:jc w:val="both"/>
              <w:rPr>
                <w:rFonts w:ascii="Calibri" w:hAnsi="Calibri" w:cs="Calibri"/>
                <w:color w:val="000000"/>
              </w:rPr>
            </w:pPr>
            <w:r>
              <w:rPr>
                <w:rFonts w:ascii="Calibri" w:hAnsi="Calibri" w:cs="Calibri"/>
                <w:color w:val="000000"/>
              </w:rPr>
              <w:t>5-9</w:t>
            </w:r>
          </w:p>
        </w:tc>
        <w:tc>
          <w:tcPr>
            <w:tcW w:w="1030" w:type="dxa"/>
            <w:vAlign w:val="bottom"/>
          </w:tcPr>
          <w:p w14:paraId="2E527696" w14:textId="4981E98D" w:rsidR="005C702F" w:rsidRDefault="005C702F" w:rsidP="007E4395">
            <w:pPr>
              <w:jc w:val="both"/>
              <w:rPr>
                <w:rFonts w:ascii="Calibri" w:hAnsi="Calibri" w:cs="Calibri"/>
                <w:color w:val="000000"/>
              </w:rPr>
            </w:pPr>
            <w:r>
              <w:rPr>
                <w:rFonts w:ascii="Calibri" w:hAnsi="Calibri" w:cs="Calibri"/>
                <w:color w:val="000000"/>
              </w:rPr>
              <w:t>4,6</w:t>
            </w:r>
          </w:p>
        </w:tc>
        <w:tc>
          <w:tcPr>
            <w:tcW w:w="1053" w:type="dxa"/>
            <w:vAlign w:val="bottom"/>
          </w:tcPr>
          <w:p w14:paraId="2C9C19AF" w14:textId="491B2288" w:rsidR="005C702F" w:rsidRDefault="005C702F" w:rsidP="007E4395">
            <w:pPr>
              <w:jc w:val="both"/>
              <w:rPr>
                <w:rFonts w:ascii="Calibri" w:hAnsi="Calibri" w:cs="Calibri"/>
                <w:color w:val="000000"/>
              </w:rPr>
            </w:pPr>
            <w:r>
              <w:rPr>
                <w:rFonts w:ascii="Calibri" w:hAnsi="Calibri" w:cs="Calibri"/>
                <w:color w:val="000000"/>
              </w:rPr>
              <w:t>26</w:t>
            </w:r>
          </w:p>
        </w:tc>
        <w:tc>
          <w:tcPr>
            <w:tcW w:w="1344" w:type="dxa"/>
            <w:vAlign w:val="bottom"/>
          </w:tcPr>
          <w:p w14:paraId="7B921A19" w14:textId="010E46C6" w:rsidR="005C702F" w:rsidRDefault="005C702F" w:rsidP="007E4395">
            <w:pPr>
              <w:jc w:val="both"/>
              <w:rPr>
                <w:rFonts w:ascii="Calibri" w:hAnsi="Calibri" w:cs="Calibri"/>
                <w:color w:val="000000"/>
              </w:rPr>
            </w:pPr>
            <w:r>
              <w:rPr>
                <w:rFonts w:ascii="Calibri" w:hAnsi="Calibri" w:cs="Calibri"/>
                <w:color w:val="000000"/>
              </w:rPr>
              <w:t>1</w:t>
            </w:r>
          </w:p>
        </w:tc>
        <w:tc>
          <w:tcPr>
            <w:tcW w:w="1134" w:type="dxa"/>
            <w:vAlign w:val="bottom"/>
          </w:tcPr>
          <w:p w14:paraId="2F0034E2" w14:textId="599DD60D" w:rsidR="005C702F" w:rsidRDefault="005C702F" w:rsidP="007E4395">
            <w:pPr>
              <w:jc w:val="both"/>
              <w:rPr>
                <w:rFonts w:ascii="Calibri" w:hAnsi="Calibri" w:cs="Calibri"/>
                <w:color w:val="000000"/>
              </w:rPr>
            </w:pPr>
            <w:r>
              <w:rPr>
                <w:rFonts w:ascii="Calibri" w:hAnsi="Calibri" w:cs="Calibri"/>
                <w:color w:val="000000"/>
              </w:rPr>
              <w:t>18</w:t>
            </w:r>
          </w:p>
        </w:tc>
        <w:tc>
          <w:tcPr>
            <w:tcW w:w="851" w:type="dxa"/>
            <w:vAlign w:val="bottom"/>
          </w:tcPr>
          <w:p w14:paraId="35F9890F" w14:textId="16AD9D3C" w:rsidR="005C702F" w:rsidRDefault="005C702F" w:rsidP="007E4395">
            <w:pPr>
              <w:jc w:val="both"/>
              <w:rPr>
                <w:rFonts w:ascii="Calibri" w:hAnsi="Calibri" w:cs="Calibri"/>
                <w:color w:val="000000"/>
              </w:rPr>
            </w:pPr>
            <w:r>
              <w:rPr>
                <w:rFonts w:ascii="Calibri" w:hAnsi="Calibri" w:cs="Calibri"/>
                <w:color w:val="000000"/>
              </w:rPr>
              <w:t>0,0</w:t>
            </w:r>
          </w:p>
        </w:tc>
        <w:tc>
          <w:tcPr>
            <w:tcW w:w="1134" w:type="dxa"/>
            <w:vAlign w:val="bottom"/>
          </w:tcPr>
          <w:p w14:paraId="410BDED0" w14:textId="6842E16D" w:rsidR="005C702F" w:rsidRDefault="005C702F" w:rsidP="007E4395">
            <w:pPr>
              <w:jc w:val="both"/>
              <w:rPr>
                <w:rFonts w:ascii="Calibri" w:hAnsi="Calibri" w:cs="Calibri"/>
                <w:color w:val="000000"/>
              </w:rPr>
            </w:pPr>
            <w:r>
              <w:rPr>
                <w:rFonts w:ascii="Calibri" w:hAnsi="Calibri" w:cs="Calibri"/>
                <w:color w:val="000000"/>
              </w:rPr>
              <w:t>1697</w:t>
            </w:r>
          </w:p>
        </w:tc>
      </w:tr>
      <w:tr w:rsidR="005C702F" w14:paraId="3DEDE463" w14:textId="77777777" w:rsidTr="005C702F">
        <w:tc>
          <w:tcPr>
            <w:tcW w:w="1944" w:type="dxa"/>
            <w:vAlign w:val="bottom"/>
          </w:tcPr>
          <w:p w14:paraId="7A659C35" w14:textId="77777777" w:rsidR="005C702F" w:rsidRDefault="005C702F" w:rsidP="007E4395">
            <w:pPr>
              <w:jc w:val="both"/>
              <w:rPr>
                <w:rFonts w:ascii="Calibri" w:hAnsi="Calibri" w:cs="Calibri"/>
                <w:color w:val="000000"/>
              </w:rPr>
            </w:pPr>
            <w:r>
              <w:rPr>
                <w:rFonts w:ascii="Calibri" w:hAnsi="Calibri" w:cs="Calibri"/>
                <w:color w:val="000000"/>
              </w:rPr>
              <w:t>Töötlev tööstus</w:t>
            </w:r>
          </w:p>
        </w:tc>
        <w:tc>
          <w:tcPr>
            <w:tcW w:w="861" w:type="dxa"/>
            <w:vAlign w:val="bottom"/>
          </w:tcPr>
          <w:p w14:paraId="27269477" w14:textId="77777777" w:rsidR="005C702F" w:rsidRDefault="005C702F" w:rsidP="007E4395">
            <w:pPr>
              <w:jc w:val="both"/>
              <w:rPr>
                <w:rFonts w:ascii="Calibri" w:hAnsi="Calibri" w:cs="Calibri"/>
                <w:color w:val="000000"/>
              </w:rPr>
            </w:pPr>
            <w:r>
              <w:rPr>
                <w:rFonts w:ascii="Calibri" w:hAnsi="Calibri" w:cs="Calibri"/>
                <w:color w:val="000000"/>
              </w:rPr>
              <w:t>10-33</w:t>
            </w:r>
          </w:p>
        </w:tc>
        <w:tc>
          <w:tcPr>
            <w:tcW w:w="1030" w:type="dxa"/>
            <w:vAlign w:val="bottom"/>
          </w:tcPr>
          <w:p w14:paraId="0E1A72C6" w14:textId="78245DB0" w:rsidR="005C702F" w:rsidRDefault="005C702F" w:rsidP="007E4395">
            <w:pPr>
              <w:jc w:val="both"/>
              <w:rPr>
                <w:rFonts w:ascii="Calibri" w:hAnsi="Calibri" w:cs="Calibri"/>
                <w:color w:val="000000"/>
              </w:rPr>
            </w:pPr>
            <w:r>
              <w:rPr>
                <w:rFonts w:ascii="Calibri" w:hAnsi="Calibri" w:cs="Calibri"/>
                <w:color w:val="000000"/>
              </w:rPr>
              <w:t>123,3</w:t>
            </w:r>
          </w:p>
        </w:tc>
        <w:tc>
          <w:tcPr>
            <w:tcW w:w="1053" w:type="dxa"/>
            <w:vAlign w:val="bottom"/>
          </w:tcPr>
          <w:p w14:paraId="27B1CBBB" w14:textId="30470F96" w:rsidR="005C702F" w:rsidRDefault="005C702F" w:rsidP="007E4395">
            <w:pPr>
              <w:jc w:val="both"/>
              <w:rPr>
                <w:rFonts w:ascii="Calibri" w:hAnsi="Calibri" w:cs="Calibri"/>
                <w:color w:val="000000"/>
              </w:rPr>
            </w:pPr>
            <w:r>
              <w:rPr>
                <w:rFonts w:ascii="Calibri" w:hAnsi="Calibri" w:cs="Calibri"/>
                <w:color w:val="000000"/>
              </w:rPr>
              <w:t>548</w:t>
            </w:r>
          </w:p>
        </w:tc>
        <w:tc>
          <w:tcPr>
            <w:tcW w:w="1344" w:type="dxa"/>
            <w:vAlign w:val="bottom"/>
          </w:tcPr>
          <w:p w14:paraId="6AE18871" w14:textId="310468E2" w:rsidR="005C702F" w:rsidRDefault="005C702F" w:rsidP="007E4395">
            <w:pPr>
              <w:jc w:val="both"/>
              <w:rPr>
                <w:rFonts w:ascii="Calibri" w:hAnsi="Calibri" w:cs="Calibri"/>
                <w:color w:val="000000"/>
              </w:rPr>
            </w:pPr>
            <w:r>
              <w:rPr>
                <w:rFonts w:ascii="Calibri" w:hAnsi="Calibri" w:cs="Calibri"/>
                <w:color w:val="000000"/>
              </w:rPr>
              <w:t>706</w:t>
            </w:r>
          </w:p>
        </w:tc>
        <w:tc>
          <w:tcPr>
            <w:tcW w:w="1134" w:type="dxa"/>
            <w:vAlign w:val="bottom"/>
          </w:tcPr>
          <w:p w14:paraId="693C4A23" w14:textId="3C04BB17" w:rsidR="005C702F" w:rsidRDefault="005C702F" w:rsidP="007E4395">
            <w:pPr>
              <w:jc w:val="both"/>
              <w:rPr>
                <w:rFonts w:ascii="Calibri" w:hAnsi="Calibri" w:cs="Calibri"/>
                <w:color w:val="000000"/>
              </w:rPr>
            </w:pPr>
            <w:r>
              <w:rPr>
                <w:rFonts w:ascii="Calibri" w:hAnsi="Calibri" w:cs="Calibri"/>
                <w:color w:val="000000"/>
              </w:rPr>
              <w:t>6143</w:t>
            </w:r>
          </w:p>
        </w:tc>
        <w:tc>
          <w:tcPr>
            <w:tcW w:w="851" w:type="dxa"/>
            <w:vAlign w:val="bottom"/>
          </w:tcPr>
          <w:p w14:paraId="48F520EB" w14:textId="4C85926A" w:rsidR="005C702F" w:rsidRDefault="005C702F" w:rsidP="007E4395">
            <w:pPr>
              <w:jc w:val="both"/>
              <w:rPr>
                <w:rFonts w:ascii="Calibri" w:hAnsi="Calibri" w:cs="Calibri"/>
                <w:color w:val="000000"/>
              </w:rPr>
            </w:pPr>
            <w:r>
              <w:rPr>
                <w:rFonts w:ascii="Calibri" w:hAnsi="Calibri" w:cs="Calibri"/>
                <w:color w:val="000000"/>
              </w:rPr>
              <w:t>2,0</w:t>
            </w:r>
          </w:p>
        </w:tc>
        <w:tc>
          <w:tcPr>
            <w:tcW w:w="1134" w:type="dxa"/>
            <w:vAlign w:val="bottom"/>
          </w:tcPr>
          <w:p w14:paraId="7EFCA90A" w14:textId="68A9EFD1" w:rsidR="005C702F" w:rsidRDefault="005C702F" w:rsidP="007E4395">
            <w:pPr>
              <w:jc w:val="both"/>
              <w:rPr>
                <w:rFonts w:ascii="Calibri" w:hAnsi="Calibri" w:cs="Calibri"/>
                <w:color w:val="000000"/>
              </w:rPr>
            </w:pPr>
            <w:r>
              <w:rPr>
                <w:rFonts w:ascii="Calibri" w:hAnsi="Calibri" w:cs="Calibri"/>
                <w:color w:val="000000"/>
              </w:rPr>
              <w:t>1363</w:t>
            </w:r>
          </w:p>
        </w:tc>
      </w:tr>
      <w:tr w:rsidR="005C702F" w14:paraId="50747F05" w14:textId="77777777" w:rsidTr="005C702F">
        <w:tc>
          <w:tcPr>
            <w:tcW w:w="1944" w:type="dxa"/>
            <w:vAlign w:val="bottom"/>
          </w:tcPr>
          <w:p w14:paraId="6A5F7843" w14:textId="77777777" w:rsidR="005C702F" w:rsidRDefault="005C702F" w:rsidP="007E4395">
            <w:pPr>
              <w:jc w:val="both"/>
              <w:rPr>
                <w:rFonts w:ascii="Calibri" w:hAnsi="Calibri" w:cs="Calibri"/>
                <w:color w:val="000000"/>
              </w:rPr>
            </w:pPr>
            <w:r>
              <w:rPr>
                <w:rFonts w:ascii="Calibri" w:hAnsi="Calibri" w:cs="Calibri"/>
                <w:color w:val="000000"/>
              </w:rPr>
              <w:t>Elektrienergia, gaasi-ja veevarustus, jäätmekäitlus</w:t>
            </w:r>
          </w:p>
        </w:tc>
        <w:tc>
          <w:tcPr>
            <w:tcW w:w="861" w:type="dxa"/>
            <w:vAlign w:val="bottom"/>
          </w:tcPr>
          <w:p w14:paraId="6B959B6C" w14:textId="77777777" w:rsidR="005C702F" w:rsidRDefault="005C702F" w:rsidP="007E4395">
            <w:pPr>
              <w:jc w:val="both"/>
              <w:rPr>
                <w:rFonts w:ascii="Calibri" w:hAnsi="Calibri" w:cs="Calibri"/>
                <w:color w:val="000000"/>
              </w:rPr>
            </w:pPr>
            <w:r>
              <w:rPr>
                <w:rFonts w:ascii="Calibri" w:hAnsi="Calibri" w:cs="Calibri"/>
                <w:color w:val="000000"/>
              </w:rPr>
              <w:t>35-39</w:t>
            </w:r>
          </w:p>
        </w:tc>
        <w:tc>
          <w:tcPr>
            <w:tcW w:w="1030" w:type="dxa"/>
            <w:vAlign w:val="bottom"/>
          </w:tcPr>
          <w:p w14:paraId="65786C74" w14:textId="61AAD241" w:rsidR="005C702F" w:rsidRDefault="005C702F" w:rsidP="007E4395">
            <w:pPr>
              <w:jc w:val="both"/>
              <w:rPr>
                <w:rFonts w:ascii="Calibri" w:hAnsi="Calibri" w:cs="Calibri"/>
                <w:color w:val="000000"/>
              </w:rPr>
            </w:pPr>
            <w:r>
              <w:rPr>
                <w:rFonts w:ascii="Calibri" w:hAnsi="Calibri" w:cs="Calibri"/>
                <w:color w:val="000000"/>
              </w:rPr>
              <w:t>9,7</w:t>
            </w:r>
          </w:p>
        </w:tc>
        <w:tc>
          <w:tcPr>
            <w:tcW w:w="1053" w:type="dxa"/>
            <w:vAlign w:val="bottom"/>
          </w:tcPr>
          <w:p w14:paraId="57E57F79" w14:textId="44253AF9" w:rsidR="005C702F" w:rsidRDefault="005C702F" w:rsidP="007E4395">
            <w:pPr>
              <w:jc w:val="both"/>
              <w:rPr>
                <w:rFonts w:ascii="Calibri" w:hAnsi="Calibri" w:cs="Calibri"/>
                <w:color w:val="000000"/>
              </w:rPr>
            </w:pPr>
            <w:r>
              <w:rPr>
                <w:rFonts w:ascii="Calibri" w:hAnsi="Calibri" w:cs="Calibri"/>
                <w:color w:val="000000"/>
              </w:rPr>
              <w:t>123</w:t>
            </w:r>
          </w:p>
        </w:tc>
        <w:tc>
          <w:tcPr>
            <w:tcW w:w="1344" w:type="dxa"/>
            <w:vAlign w:val="bottom"/>
          </w:tcPr>
          <w:p w14:paraId="1A581CED" w14:textId="7DAC033B" w:rsidR="005C702F" w:rsidRDefault="005C702F" w:rsidP="007E4395">
            <w:pPr>
              <w:jc w:val="both"/>
              <w:rPr>
                <w:rFonts w:ascii="Calibri" w:hAnsi="Calibri" w:cs="Calibri"/>
                <w:color w:val="000000"/>
              </w:rPr>
            </w:pPr>
            <w:r>
              <w:rPr>
                <w:rFonts w:ascii="Calibri" w:hAnsi="Calibri" w:cs="Calibri"/>
                <w:color w:val="000000"/>
              </w:rPr>
              <w:t>33</w:t>
            </w:r>
          </w:p>
        </w:tc>
        <w:tc>
          <w:tcPr>
            <w:tcW w:w="1134" w:type="dxa"/>
            <w:vAlign w:val="bottom"/>
          </w:tcPr>
          <w:p w14:paraId="415A6D04" w14:textId="1532CCC3" w:rsidR="005C702F" w:rsidRDefault="005C702F" w:rsidP="007E4395">
            <w:pPr>
              <w:jc w:val="both"/>
              <w:rPr>
                <w:rFonts w:ascii="Calibri" w:hAnsi="Calibri" w:cs="Calibri"/>
                <w:color w:val="000000"/>
              </w:rPr>
            </w:pPr>
            <w:r>
              <w:rPr>
                <w:rFonts w:ascii="Calibri" w:hAnsi="Calibri" w:cs="Calibri"/>
                <w:color w:val="000000"/>
              </w:rPr>
              <w:t>179</w:t>
            </w:r>
          </w:p>
        </w:tc>
        <w:tc>
          <w:tcPr>
            <w:tcW w:w="851" w:type="dxa"/>
            <w:vAlign w:val="bottom"/>
          </w:tcPr>
          <w:p w14:paraId="4514FFC7" w14:textId="594FA82A" w:rsidR="005C702F" w:rsidRDefault="005C702F" w:rsidP="007E4395">
            <w:pPr>
              <w:jc w:val="both"/>
              <w:rPr>
                <w:rFonts w:ascii="Calibri" w:hAnsi="Calibri" w:cs="Calibri"/>
                <w:color w:val="000000"/>
              </w:rPr>
            </w:pPr>
            <w:r>
              <w:rPr>
                <w:rFonts w:ascii="Calibri" w:hAnsi="Calibri" w:cs="Calibri"/>
                <w:color w:val="000000"/>
              </w:rPr>
              <w:t>0,1</w:t>
            </w:r>
          </w:p>
        </w:tc>
        <w:tc>
          <w:tcPr>
            <w:tcW w:w="1134" w:type="dxa"/>
            <w:vAlign w:val="bottom"/>
          </w:tcPr>
          <w:p w14:paraId="51A56084" w14:textId="0214B637" w:rsidR="005C702F" w:rsidRDefault="005C702F" w:rsidP="007E4395">
            <w:pPr>
              <w:jc w:val="both"/>
              <w:rPr>
                <w:rFonts w:ascii="Calibri" w:hAnsi="Calibri" w:cs="Calibri"/>
                <w:color w:val="000000"/>
              </w:rPr>
            </w:pPr>
            <w:r>
              <w:rPr>
                <w:rFonts w:ascii="Calibri" w:hAnsi="Calibri" w:cs="Calibri"/>
                <w:color w:val="000000"/>
              </w:rPr>
              <w:t>1825</w:t>
            </w:r>
          </w:p>
        </w:tc>
      </w:tr>
      <w:tr w:rsidR="005C702F" w14:paraId="21885DF2" w14:textId="77777777" w:rsidTr="005C702F">
        <w:tc>
          <w:tcPr>
            <w:tcW w:w="1944" w:type="dxa"/>
            <w:vAlign w:val="bottom"/>
          </w:tcPr>
          <w:p w14:paraId="2039BF35" w14:textId="77777777" w:rsidR="005C702F" w:rsidRDefault="005C702F" w:rsidP="007E4395">
            <w:pPr>
              <w:jc w:val="both"/>
              <w:rPr>
                <w:rFonts w:ascii="Calibri" w:hAnsi="Calibri" w:cs="Calibri"/>
                <w:color w:val="000000"/>
              </w:rPr>
            </w:pPr>
            <w:r>
              <w:rPr>
                <w:rFonts w:ascii="Calibri" w:hAnsi="Calibri" w:cs="Calibri"/>
                <w:color w:val="000000"/>
              </w:rPr>
              <w:t>Ehitus</w:t>
            </w:r>
          </w:p>
        </w:tc>
        <w:tc>
          <w:tcPr>
            <w:tcW w:w="861" w:type="dxa"/>
            <w:vAlign w:val="bottom"/>
          </w:tcPr>
          <w:p w14:paraId="6269064E" w14:textId="77777777" w:rsidR="005C702F" w:rsidRDefault="005C702F" w:rsidP="007E4395">
            <w:pPr>
              <w:jc w:val="both"/>
              <w:rPr>
                <w:rFonts w:ascii="Calibri" w:hAnsi="Calibri" w:cs="Calibri"/>
                <w:color w:val="000000"/>
              </w:rPr>
            </w:pPr>
            <w:r>
              <w:rPr>
                <w:rFonts w:ascii="Calibri" w:hAnsi="Calibri" w:cs="Calibri"/>
                <w:color w:val="000000"/>
              </w:rPr>
              <w:t>41-43</w:t>
            </w:r>
          </w:p>
        </w:tc>
        <w:tc>
          <w:tcPr>
            <w:tcW w:w="1030" w:type="dxa"/>
            <w:vAlign w:val="bottom"/>
          </w:tcPr>
          <w:p w14:paraId="7223C50F" w14:textId="482AC233" w:rsidR="005C702F" w:rsidRDefault="005C702F" w:rsidP="007E4395">
            <w:pPr>
              <w:jc w:val="both"/>
              <w:rPr>
                <w:rFonts w:ascii="Calibri" w:hAnsi="Calibri" w:cs="Calibri"/>
                <w:color w:val="000000"/>
              </w:rPr>
            </w:pPr>
            <w:r>
              <w:rPr>
                <w:rFonts w:ascii="Calibri" w:hAnsi="Calibri" w:cs="Calibri"/>
                <w:color w:val="000000"/>
              </w:rPr>
              <w:t>57,9</w:t>
            </w:r>
          </w:p>
        </w:tc>
        <w:tc>
          <w:tcPr>
            <w:tcW w:w="1053" w:type="dxa"/>
            <w:vAlign w:val="bottom"/>
          </w:tcPr>
          <w:p w14:paraId="614BD1C6" w14:textId="32941608" w:rsidR="005C702F" w:rsidRDefault="005C702F" w:rsidP="007E4395">
            <w:pPr>
              <w:jc w:val="both"/>
              <w:rPr>
                <w:rFonts w:ascii="Calibri" w:hAnsi="Calibri" w:cs="Calibri"/>
                <w:color w:val="000000"/>
              </w:rPr>
            </w:pPr>
            <w:r>
              <w:rPr>
                <w:rFonts w:ascii="Calibri" w:hAnsi="Calibri" w:cs="Calibri"/>
                <w:color w:val="000000"/>
              </w:rPr>
              <w:t>253</w:t>
            </w:r>
          </w:p>
        </w:tc>
        <w:tc>
          <w:tcPr>
            <w:tcW w:w="1344" w:type="dxa"/>
            <w:vAlign w:val="bottom"/>
          </w:tcPr>
          <w:p w14:paraId="34BB868D" w14:textId="0B7B015E" w:rsidR="005C702F" w:rsidRDefault="005C702F" w:rsidP="007E4395">
            <w:pPr>
              <w:jc w:val="both"/>
              <w:rPr>
                <w:rFonts w:ascii="Calibri" w:hAnsi="Calibri" w:cs="Calibri"/>
                <w:color w:val="000000"/>
              </w:rPr>
            </w:pPr>
            <w:r>
              <w:rPr>
                <w:rFonts w:ascii="Calibri" w:hAnsi="Calibri" w:cs="Calibri"/>
                <w:color w:val="000000"/>
              </w:rPr>
              <w:t>285</w:t>
            </w:r>
          </w:p>
        </w:tc>
        <w:tc>
          <w:tcPr>
            <w:tcW w:w="1134" w:type="dxa"/>
            <w:vAlign w:val="bottom"/>
          </w:tcPr>
          <w:p w14:paraId="19259F19" w14:textId="0317567F" w:rsidR="005C702F" w:rsidRDefault="005C702F" w:rsidP="007E4395">
            <w:pPr>
              <w:jc w:val="both"/>
              <w:rPr>
                <w:rFonts w:ascii="Calibri" w:hAnsi="Calibri" w:cs="Calibri"/>
                <w:color w:val="000000"/>
              </w:rPr>
            </w:pPr>
            <w:r>
              <w:rPr>
                <w:rFonts w:ascii="Calibri" w:hAnsi="Calibri" w:cs="Calibri"/>
                <w:color w:val="000000"/>
              </w:rPr>
              <w:t>9257</w:t>
            </w:r>
          </w:p>
        </w:tc>
        <w:tc>
          <w:tcPr>
            <w:tcW w:w="851" w:type="dxa"/>
            <w:vAlign w:val="bottom"/>
          </w:tcPr>
          <w:p w14:paraId="53554DAF" w14:textId="11ED290A" w:rsidR="005C702F" w:rsidRDefault="005C702F" w:rsidP="007E4395">
            <w:pPr>
              <w:jc w:val="both"/>
              <w:rPr>
                <w:rFonts w:ascii="Calibri" w:hAnsi="Calibri" w:cs="Calibri"/>
                <w:color w:val="000000"/>
              </w:rPr>
            </w:pPr>
            <w:r>
              <w:rPr>
                <w:rFonts w:ascii="Calibri" w:hAnsi="Calibri" w:cs="Calibri"/>
                <w:color w:val="000000"/>
              </w:rPr>
              <w:t>8,9</w:t>
            </w:r>
          </w:p>
        </w:tc>
        <w:tc>
          <w:tcPr>
            <w:tcW w:w="1134" w:type="dxa"/>
            <w:vAlign w:val="bottom"/>
          </w:tcPr>
          <w:p w14:paraId="0A9216FB" w14:textId="45B8FAD0" w:rsidR="005C702F" w:rsidRDefault="005C702F" w:rsidP="007E4395">
            <w:pPr>
              <w:jc w:val="both"/>
              <w:rPr>
                <w:rFonts w:ascii="Calibri" w:hAnsi="Calibri" w:cs="Calibri"/>
                <w:color w:val="000000"/>
              </w:rPr>
            </w:pPr>
            <w:r>
              <w:rPr>
                <w:rFonts w:ascii="Calibri" w:hAnsi="Calibri" w:cs="Calibri"/>
                <w:color w:val="000000"/>
              </w:rPr>
              <w:t>1365</w:t>
            </w:r>
          </w:p>
        </w:tc>
      </w:tr>
      <w:tr w:rsidR="005C702F" w14:paraId="108B062F" w14:textId="77777777" w:rsidTr="005C702F">
        <w:tc>
          <w:tcPr>
            <w:tcW w:w="1944" w:type="dxa"/>
            <w:vAlign w:val="bottom"/>
          </w:tcPr>
          <w:p w14:paraId="0788E0B0" w14:textId="77777777" w:rsidR="005C702F" w:rsidRDefault="005C702F" w:rsidP="007E4395">
            <w:pPr>
              <w:jc w:val="both"/>
              <w:rPr>
                <w:rFonts w:ascii="Calibri" w:hAnsi="Calibri" w:cs="Calibri"/>
                <w:color w:val="000000"/>
              </w:rPr>
            </w:pPr>
            <w:r>
              <w:rPr>
                <w:rFonts w:ascii="Calibri" w:hAnsi="Calibri" w:cs="Calibri"/>
                <w:color w:val="000000"/>
              </w:rPr>
              <w:t>Hulgi- ja jaekaubandus</w:t>
            </w:r>
          </w:p>
        </w:tc>
        <w:tc>
          <w:tcPr>
            <w:tcW w:w="861" w:type="dxa"/>
            <w:vAlign w:val="bottom"/>
          </w:tcPr>
          <w:p w14:paraId="29207643" w14:textId="77777777" w:rsidR="005C702F" w:rsidRDefault="005C702F" w:rsidP="007E4395">
            <w:pPr>
              <w:jc w:val="both"/>
              <w:rPr>
                <w:rFonts w:ascii="Calibri" w:hAnsi="Calibri" w:cs="Calibri"/>
                <w:color w:val="000000"/>
              </w:rPr>
            </w:pPr>
            <w:r>
              <w:rPr>
                <w:rFonts w:ascii="Calibri" w:hAnsi="Calibri" w:cs="Calibri"/>
                <w:color w:val="000000"/>
              </w:rPr>
              <w:t>45-47</w:t>
            </w:r>
          </w:p>
        </w:tc>
        <w:tc>
          <w:tcPr>
            <w:tcW w:w="1030" w:type="dxa"/>
            <w:vAlign w:val="bottom"/>
          </w:tcPr>
          <w:p w14:paraId="5D65B644" w14:textId="743289A5" w:rsidR="005C702F" w:rsidRDefault="005C702F" w:rsidP="007E4395">
            <w:pPr>
              <w:jc w:val="both"/>
              <w:rPr>
                <w:rFonts w:ascii="Calibri" w:hAnsi="Calibri" w:cs="Calibri"/>
                <w:color w:val="000000"/>
              </w:rPr>
            </w:pPr>
            <w:r>
              <w:rPr>
                <w:rFonts w:ascii="Calibri" w:hAnsi="Calibri" w:cs="Calibri"/>
                <w:color w:val="000000"/>
              </w:rPr>
              <w:t>86,6</w:t>
            </w:r>
          </w:p>
        </w:tc>
        <w:tc>
          <w:tcPr>
            <w:tcW w:w="1053" w:type="dxa"/>
            <w:vAlign w:val="bottom"/>
          </w:tcPr>
          <w:p w14:paraId="220E24F3" w14:textId="77810AB9" w:rsidR="005C702F" w:rsidRDefault="005C702F" w:rsidP="007E4395">
            <w:pPr>
              <w:jc w:val="both"/>
              <w:rPr>
                <w:rFonts w:ascii="Calibri" w:hAnsi="Calibri" w:cs="Calibri"/>
                <w:color w:val="000000"/>
              </w:rPr>
            </w:pPr>
            <w:r>
              <w:rPr>
                <w:rFonts w:ascii="Calibri" w:hAnsi="Calibri" w:cs="Calibri"/>
                <w:color w:val="000000"/>
              </w:rPr>
              <w:t>-320</w:t>
            </w:r>
          </w:p>
        </w:tc>
        <w:tc>
          <w:tcPr>
            <w:tcW w:w="1344" w:type="dxa"/>
            <w:vAlign w:val="bottom"/>
          </w:tcPr>
          <w:p w14:paraId="13AC3461" w14:textId="7B4C8414" w:rsidR="005C702F" w:rsidRDefault="005C702F" w:rsidP="007E4395">
            <w:pPr>
              <w:jc w:val="both"/>
              <w:rPr>
                <w:rFonts w:ascii="Calibri" w:hAnsi="Calibri" w:cs="Calibri"/>
                <w:color w:val="000000"/>
              </w:rPr>
            </w:pPr>
            <w:r>
              <w:rPr>
                <w:rFonts w:ascii="Calibri" w:hAnsi="Calibri" w:cs="Calibri"/>
                <w:color w:val="000000"/>
              </w:rPr>
              <w:t>65</w:t>
            </w:r>
          </w:p>
        </w:tc>
        <w:tc>
          <w:tcPr>
            <w:tcW w:w="1134" w:type="dxa"/>
            <w:vAlign w:val="bottom"/>
          </w:tcPr>
          <w:p w14:paraId="50622642" w14:textId="194D08F6" w:rsidR="005C702F" w:rsidRDefault="005C702F" w:rsidP="007E4395">
            <w:pPr>
              <w:jc w:val="both"/>
              <w:rPr>
                <w:rFonts w:ascii="Calibri" w:hAnsi="Calibri" w:cs="Calibri"/>
                <w:color w:val="000000"/>
              </w:rPr>
            </w:pPr>
            <w:r>
              <w:rPr>
                <w:rFonts w:ascii="Calibri" w:hAnsi="Calibri" w:cs="Calibri"/>
                <w:color w:val="000000"/>
              </w:rPr>
              <w:t>751</w:t>
            </w:r>
          </w:p>
        </w:tc>
        <w:tc>
          <w:tcPr>
            <w:tcW w:w="851" w:type="dxa"/>
            <w:vAlign w:val="bottom"/>
          </w:tcPr>
          <w:p w14:paraId="60629495" w14:textId="4B2EE863" w:rsidR="005C702F" w:rsidRDefault="005C702F" w:rsidP="007E4395">
            <w:pPr>
              <w:jc w:val="both"/>
              <w:rPr>
                <w:rFonts w:ascii="Calibri" w:hAnsi="Calibri" w:cs="Calibri"/>
                <w:color w:val="000000"/>
              </w:rPr>
            </w:pPr>
            <w:r>
              <w:rPr>
                <w:rFonts w:ascii="Calibri" w:hAnsi="Calibri" w:cs="Calibri"/>
                <w:color w:val="000000"/>
              </w:rPr>
              <w:t>0,4</w:t>
            </w:r>
          </w:p>
        </w:tc>
        <w:tc>
          <w:tcPr>
            <w:tcW w:w="1134" w:type="dxa"/>
            <w:vAlign w:val="bottom"/>
          </w:tcPr>
          <w:p w14:paraId="40EAF377" w14:textId="5994C5D8" w:rsidR="005C702F" w:rsidRDefault="005C702F" w:rsidP="007E4395">
            <w:pPr>
              <w:jc w:val="both"/>
              <w:rPr>
                <w:rFonts w:ascii="Calibri" w:hAnsi="Calibri" w:cs="Calibri"/>
                <w:color w:val="000000"/>
              </w:rPr>
            </w:pPr>
            <w:r>
              <w:rPr>
                <w:rFonts w:ascii="Calibri" w:hAnsi="Calibri" w:cs="Calibri"/>
                <w:color w:val="000000"/>
              </w:rPr>
              <w:t>1187</w:t>
            </w:r>
          </w:p>
        </w:tc>
      </w:tr>
      <w:tr w:rsidR="005C702F" w14:paraId="4C582896" w14:textId="77777777" w:rsidTr="005C702F">
        <w:tc>
          <w:tcPr>
            <w:tcW w:w="1944" w:type="dxa"/>
            <w:vAlign w:val="bottom"/>
          </w:tcPr>
          <w:p w14:paraId="4078E668" w14:textId="77777777" w:rsidR="005C702F" w:rsidRDefault="005C702F" w:rsidP="007E4395">
            <w:pPr>
              <w:jc w:val="both"/>
              <w:rPr>
                <w:rFonts w:ascii="Calibri" w:hAnsi="Calibri" w:cs="Calibri"/>
                <w:color w:val="000000"/>
              </w:rPr>
            </w:pPr>
            <w:r>
              <w:rPr>
                <w:rFonts w:ascii="Calibri" w:hAnsi="Calibri" w:cs="Calibri"/>
                <w:color w:val="000000"/>
              </w:rPr>
              <w:t>Veondus ja laondus</w:t>
            </w:r>
          </w:p>
        </w:tc>
        <w:tc>
          <w:tcPr>
            <w:tcW w:w="861" w:type="dxa"/>
            <w:vAlign w:val="bottom"/>
          </w:tcPr>
          <w:p w14:paraId="792BF97F" w14:textId="77777777" w:rsidR="005C702F" w:rsidRDefault="005C702F" w:rsidP="007E4395">
            <w:pPr>
              <w:jc w:val="both"/>
              <w:rPr>
                <w:rFonts w:ascii="Calibri" w:hAnsi="Calibri" w:cs="Calibri"/>
                <w:color w:val="000000"/>
              </w:rPr>
            </w:pPr>
            <w:r>
              <w:rPr>
                <w:rFonts w:ascii="Calibri" w:hAnsi="Calibri" w:cs="Calibri"/>
                <w:color w:val="000000"/>
              </w:rPr>
              <w:t>49-53</w:t>
            </w:r>
          </w:p>
        </w:tc>
        <w:tc>
          <w:tcPr>
            <w:tcW w:w="1030" w:type="dxa"/>
            <w:vAlign w:val="bottom"/>
          </w:tcPr>
          <w:p w14:paraId="270F758C" w14:textId="5415B61A" w:rsidR="005C702F" w:rsidRDefault="005C702F" w:rsidP="007E4395">
            <w:pPr>
              <w:jc w:val="both"/>
              <w:rPr>
                <w:rFonts w:ascii="Calibri" w:hAnsi="Calibri" w:cs="Calibri"/>
                <w:color w:val="000000"/>
              </w:rPr>
            </w:pPr>
            <w:r>
              <w:rPr>
                <w:rFonts w:ascii="Calibri" w:hAnsi="Calibri" w:cs="Calibri"/>
                <w:color w:val="000000"/>
              </w:rPr>
              <w:t>50,9</w:t>
            </w:r>
          </w:p>
        </w:tc>
        <w:tc>
          <w:tcPr>
            <w:tcW w:w="1053" w:type="dxa"/>
            <w:vAlign w:val="bottom"/>
          </w:tcPr>
          <w:p w14:paraId="171D51CE" w14:textId="110B342C" w:rsidR="005C702F" w:rsidRDefault="005C702F" w:rsidP="007E4395">
            <w:pPr>
              <w:jc w:val="both"/>
              <w:rPr>
                <w:rFonts w:ascii="Calibri" w:hAnsi="Calibri" w:cs="Calibri"/>
                <w:color w:val="000000"/>
              </w:rPr>
            </w:pPr>
            <w:r>
              <w:rPr>
                <w:rFonts w:ascii="Calibri" w:hAnsi="Calibri" w:cs="Calibri"/>
                <w:color w:val="000000"/>
              </w:rPr>
              <w:t>271</w:t>
            </w:r>
          </w:p>
        </w:tc>
        <w:tc>
          <w:tcPr>
            <w:tcW w:w="1344" w:type="dxa"/>
            <w:vAlign w:val="bottom"/>
          </w:tcPr>
          <w:p w14:paraId="5AD80C6C" w14:textId="1010B8AE" w:rsidR="005C702F" w:rsidRDefault="005C702F" w:rsidP="007E4395">
            <w:pPr>
              <w:jc w:val="both"/>
              <w:rPr>
                <w:rFonts w:ascii="Calibri" w:hAnsi="Calibri" w:cs="Calibri"/>
                <w:color w:val="000000"/>
              </w:rPr>
            </w:pPr>
            <w:r>
              <w:rPr>
                <w:rFonts w:ascii="Calibri" w:hAnsi="Calibri" w:cs="Calibri"/>
                <w:color w:val="000000"/>
              </w:rPr>
              <w:t>157</w:t>
            </w:r>
          </w:p>
        </w:tc>
        <w:tc>
          <w:tcPr>
            <w:tcW w:w="1134" w:type="dxa"/>
            <w:vAlign w:val="bottom"/>
          </w:tcPr>
          <w:p w14:paraId="2D617B1B" w14:textId="79D8523B" w:rsidR="005C702F" w:rsidRDefault="005C702F" w:rsidP="007E4395">
            <w:pPr>
              <w:jc w:val="both"/>
              <w:rPr>
                <w:rFonts w:ascii="Calibri" w:hAnsi="Calibri" w:cs="Calibri"/>
                <w:color w:val="000000"/>
              </w:rPr>
            </w:pPr>
            <w:r>
              <w:rPr>
                <w:rFonts w:ascii="Calibri" w:hAnsi="Calibri" w:cs="Calibri"/>
                <w:color w:val="000000"/>
              </w:rPr>
              <w:t>1813</w:t>
            </w:r>
          </w:p>
        </w:tc>
        <w:tc>
          <w:tcPr>
            <w:tcW w:w="851" w:type="dxa"/>
            <w:vAlign w:val="bottom"/>
          </w:tcPr>
          <w:p w14:paraId="0FBC758E" w14:textId="53A9307A" w:rsidR="005C702F" w:rsidRDefault="005C702F" w:rsidP="007E4395">
            <w:pPr>
              <w:jc w:val="both"/>
              <w:rPr>
                <w:rFonts w:ascii="Calibri" w:hAnsi="Calibri" w:cs="Calibri"/>
                <w:color w:val="000000"/>
              </w:rPr>
            </w:pPr>
            <w:r>
              <w:rPr>
                <w:rFonts w:ascii="Calibri" w:hAnsi="Calibri" w:cs="Calibri"/>
                <w:color w:val="000000"/>
              </w:rPr>
              <w:t>2,3</w:t>
            </w:r>
          </w:p>
        </w:tc>
        <w:tc>
          <w:tcPr>
            <w:tcW w:w="1134" w:type="dxa"/>
            <w:vAlign w:val="bottom"/>
          </w:tcPr>
          <w:p w14:paraId="4BF68BA5" w14:textId="5A06CB7D" w:rsidR="005C702F" w:rsidRDefault="005C702F" w:rsidP="007E4395">
            <w:pPr>
              <w:jc w:val="both"/>
              <w:rPr>
                <w:rFonts w:ascii="Calibri" w:hAnsi="Calibri" w:cs="Calibri"/>
                <w:color w:val="000000"/>
              </w:rPr>
            </w:pPr>
            <w:r>
              <w:rPr>
                <w:rFonts w:ascii="Calibri" w:hAnsi="Calibri" w:cs="Calibri"/>
                <w:color w:val="000000"/>
              </w:rPr>
              <w:t>1387</w:t>
            </w:r>
          </w:p>
        </w:tc>
      </w:tr>
      <w:tr w:rsidR="005C702F" w14:paraId="6FB7AEAD" w14:textId="77777777" w:rsidTr="005C702F">
        <w:tc>
          <w:tcPr>
            <w:tcW w:w="1944" w:type="dxa"/>
            <w:vAlign w:val="bottom"/>
          </w:tcPr>
          <w:p w14:paraId="6D19CEB1" w14:textId="77777777" w:rsidR="005C702F" w:rsidRDefault="005C702F" w:rsidP="007E4395">
            <w:pPr>
              <w:jc w:val="both"/>
              <w:rPr>
                <w:rFonts w:ascii="Calibri" w:hAnsi="Calibri" w:cs="Calibri"/>
                <w:color w:val="000000"/>
              </w:rPr>
            </w:pPr>
            <w:r>
              <w:rPr>
                <w:rFonts w:ascii="Calibri" w:hAnsi="Calibri" w:cs="Calibri"/>
                <w:color w:val="000000"/>
              </w:rPr>
              <w:t>Majutus ja toitlustus</w:t>
            </w:r>
          </w:p>
        </w:tc>
        <w:tc>
          <w:tcPr>
            <w:tcW w:w="861" w:type="dxa"/>
            <w:vAlign w:val="bottom"/>
          </w:tcPr>
          <w:p w14:paraId="121B5217" w14:textId="77777777" w:rsidR="005C702F" w:rsidRDefault="005C702F" w:rsidP="007E4395">
            <w:pPr>
              <w:jc w:val="both"/>
              <w:rPr>
                <w:rFonts w:ascii="Calibri" w:hAnsi="Calibri" w:cs="Calibri"/>
                <w:color w:val="000000"/>
              </w:rPr>
            </w:pPr>
            <w:r>
              <w:rPr>
                <w:rFonts w:ascii="Calibri" w:hAnsi="Calibri" w:cs="Calibri"/>
                <w:color w:val="000000"/>
              </w:rPr>
              <w:t>55-56</w:t>
            </w:r>
          </w:p>
        </w:tc>
        <w:tc>
          <w:tcPr>
            <w:tcW w:w="1030" w:type="dxa"/>
            <w:vAlign w:val="bottom"/>
          </w:tcPr>
          <w:p w14:paraId="3D290483" w14:textId="41BD7908" w:rsidR="005C702F" w:rsidRDefault="005C702F" w:rsidP="007E4395">
            <w:pPr>
              <w:jc w:val="both"/>
              <w:rPr>
                <w:rFonts w:ascii="Calibri" w:hAnsi="Calibri" w:cs="Calibri"/>
                <w:color w:val="000000"/>
              </w:rPr>
            </w:pPr>
            <w:r>
              <w:rPr>
                <w:rFonts w:ascii="Calibri" w:hAnsi="Calibri" w:cs="Calibri"/>
                <w:color w:val="000000"/>
              </w:rPr>
              <w:t>27,9</w:t>
            </w:r>
          </w:p>
        </w:tc>
        <w:tc>
          <w:tcPr>
            <w:tcW w:w="1053" w:type="dxa"/>
            <w:vAlign w:val="bottom"/>
          </w:tcPr>
          <w:p w14:paraId="699EEC5B" w14:textId="445B120B" w:rsidR="005C702F" w:rsidRDefault="005C702F" w:rsidP="007E4395">
            <w:pPr>
              <w:jc w:val="both"/>
              <w:rPr>
                <w:rFonts w:ascii="Calibri" w:hAnsi="Calibri" w:cs="Calibri"/>
                <w:color w:val="000000"/>
              </w:rPr>
            </w:pPr>
            <w:r>
              <w:rPr>
                <w:rFonts w:ascii="Calibri" w:hAnsi="Calibri" w:cs="Calibri"/>
                <w:color w:val="000000"/>
              </w:rPr>
              <w:t>-215</w:t>
            </w:r>
          </w:p>
        </w:tc>
        <w:tc>
          <w:tcPr>
            <w:tcW w:w="1344" w:type="dxa"/>
            <w:vAlign w:val="bottom"/>
          </w:tcPr>
          <w:p w14:paraId="10DE45F0" w14:textId="3D103F95" w:rsidR="005C702F" w:rsidRDefault="005C702F" w:rsidP="007E4395">
            <w:pPr>
              <w:jc w:val="both"/>
              <w:rPr>
                <w:rFonts w:ascii="Calibri" w:hAnsi="Calibri" w:cs="Calibri"/>
                <w:color w:val="000000"/>
              </w:rPr>
            </w:pPr>
            <w:r>
              <w:rPr>
                <w:rFonts w:ascii="Calibri" w:hAnsi="Calibri" w:cs="Calibri"/>
                <w:color w:val="000000"/>
              </w:rPr>
              <w:t>91</w:t>
            </w:r>
          </w:p>
        </w:tc>
        <w:tc>
          <w:tcPr>
            <w:tcW w:w="1134" w:type="dxa"/>
            <w:vAlign w:val="bottom"/>
          </w:tcPr>
          <w:p w14:paraId="3A2DCAB9" w14:textId="21F43FDF" w:rsidR="005C702F" w:rsidRDefault="005C702F" w:rsidP="007E4395">
            <w:pPr>
              <w:jc w:val="both"/>
              <w:rPr>
                <w:rFonts w:ascii="Calibri" w:hAnsi="Calibri" w:cs="Calibri"/>
                <w:color w:val="000000"/>
              </w:rPr>
            </w:pPr>
            <w:r>
              <w:rPr>
                <w:rFonts w:ascii="Calibri" w:hAnsi="Calibri" w:cs="Calibri"/>
                <w:color w:val="000000"/>
              </w:rPr>
              <w:t>1139</w:t>
            </w:r>
          </w:p>
        </w:tc>
        <w:tc>
          <w:tcPr>
            <w:tcW w:w="851" w:type="dxa"/>
            <w:vAlign w:val="bottom"/>
          </w:tcPr>
          <w:p w14:paraId="09C70070" w14:textId="7FCB7D00" w:rsidR="005C702F" w:rsidRDefault="005C702F" w:rsidP="007E4395">
            <w:pPr>
              <w:jc w:val="both"/>
              <w:rPr>
                <w:rFonts w:ascii="Calibri" w:hAnsi="Calibri" w:cs="Calibri"/>
                <w:color w:val="000000"/>
              </w:rPr>
            </w:pPr>
            <w:r>
              <w:rPr>
                <w:rFonts w:ascii="Calibri" w:hAnsi="Calibri" w:cs="Calibri"/>
                <w:color w:val="000000"/>
              </w:rPr>
              <w:t>0,5</w:t>
            </w:r>
          </w:p>
        </w:tc>
        <w:tc>
          <w:tcPr>
            <w:tcW w:w="1134" w:type="dxa"/>
            <w:vAlign w:val="bottom"/>
          </w:tcPr>
          <w:p w14:paraId="32688B60" w14:textId="4CFBF744" w:rsidR="005C702F" w:rsidRDefault="005C702F" w:rsidP="007E4395">
            <w:pPr>
              <w:jc w:val="both"/>
              <w:rPr>
                <w:rFonts w:ascii="Calibri" w:hAnsi="Calibri" w:cs="Calibri"/>
                <w:color w:val="000000"/>
              </w:rPr>
            </w:pPr>
            <w:r>
              <w:rPr>
                <w:rFonts w:ascii="Calibri" w:hAnsi="Calibri" w:cs="Calibri"/>
                <w:color w:val="000000"/>
              </w:rPr>
              <w:t>860</w:t>
            </w:r>
          </w:p>
        </w:tc>
      </w:tr>
      <w:tr w:rsidR="005C702F" w14:paraId="07166A78" w14:textId="77777777" w:rsidTr="005C702F">
        <w:tc>
          <w:tcPr>
            <w:tcW w:w="1944" w:type="dxa"/>
            <w:vAlign w:val="bottom"/>
          </w:tcPr>
          <w:p w14:paraId="74B503A7" w14:textId="77777777" w:rsidR="005C702F" w:rsidRDefault="005C702F" w:rsidP="007E4395">
            <w:pPr>
              <w:jc w:val="both"/>
              <w:rPr>
                <w:rFonts w:ascii="Calibri" w:hAnsi="Calibri" w:cs="Calibri"/>
                <w:color w:val="000000"/>
              </w:rPr>
            </w:pPr>
            <w:r>
              <w:rPr>
                <w:rFonts w:ascii="Calibri" w:hAnsi="Calibri" w:cs="Calibri"/>
                <w:color w:val="000000"/>
              </w:rPr>
              <w:t>Info ja side</w:t>
            </w:r>
          </w:p>
        </w:tc>
        <w:tc>
          <w:tcPr>
            <w:tcW w:w="861" w:type="dxa"/>
            <w:vAlign w:val="bottom"/>
          </w:tcPr>
          <w:p w14:paraId="5F5A1195" w14:textId="77777777" w:rsidR="005C702F" w:rsidRDefault="005C702F" w:rsidP="007E4395">
            <w:pPr>
              <w:jc w:val="both"/>
              <w:rPr>
                <w:rFonts w:ascii="Calibri" w:hAnsi="Calibri" w:cs="Calibri"/>
                <w:color w:val="000000"/>
              </w:rPr>
            </w:pPr>
            <w:r>
              <w:rPr>
                <w:rFonts w:ascii="Calibri" w:hAnsi="Calibri" w:cs="Calibri"/>
                <w:color w:val="000000"/>
              </w:rPr>
              <w:t>58-63</w:t>
            </w:r>
          </w:p>
        </w:tc>
        <w:tc>
          <w:tcPr>
            <w:tcW w:w="1030" w:type="dxa"/>
            <w:vAlign w:val="bottom"/>
          </w:tcPr>
          <w:p w14:paraId="1D615AF8" w14:textId="492B1054" w:rsidR="005C702F" w:rsidRDefault="005C702F" w:rsidP="007E4395">
            <w:pPr>
              <w:jc w:val="both"/>
              <w:rPr>
                <w:rFonts w:ascii="Calibri" w:hAnsi="Calibri" w:cs="Calibri"/>
                <w:color w:val="000000"/>
              </w:rPr>
            </w:pPr>
            <w:r>
              <w:rPr>
                <w:rFonts w:ascii="Calibri" w:hAnsi="Calibri" w:cs="Calibri"/>
                <w:color w:val="000000"/>
              </w:rPr>
              <w:t>31,1</w:t>
            </w:r>
          </w:p>
        </w:tc>
        <w:tc>
          <w:tcPr>
            <w:tcW w:w="1053" w:type="dxa"/>
            <w:vAlign w:val="bottom"/>
          </w:tcPr>
          <w:p w14:paraId="3AEBADC4" w14:textId="6D0D5D4A" w:rsidR="005C702F" w:rsidRDefault="005C702F" w:rsidP="007E4395">
            <w:pPr>
              <w:jc w:val="both"/>
              <w:rPr>
                <w:rFonts w:ascii="Calibri" w:hAnsi="Calibri" w:cs="Calibri"/>
                <w:color w:val="000000"/>
              </w:rPr>
            </w:pPr>
            <w:r>
              <w:rPr>
                <w:rFonts w:ascii="Calibri" w:hAnsi="Calibri" w:cs="Calibri"/>
                <w:color w:val="000000"/>
              </w:rPr>
              <w:t>508</w:t>
            </w:r>
          </w:p>
        </w:tc>
        <w:tc>
          <w:tcPr>
            <w:tcW w:w="1344" w:type="dxa"/>
            <w:vAlign w:val="bottom"/>
          </w:tcPr>
          <w:p w14:paraId="7E761197" w14:textId="50382319" w:rsidR="005C702F" w:rsidRDefault="005C702F" w:rsidP="007E4395">
            <w:pPr>
              <w:jc w:val="both"/>
              <w:rPr>
                <w:rFonts w:ascii="Calibri" w:hAnsi="Calibri" w:cs="Calibri"/>
                <w:color w:val="000000"/>
              </w:rPr>
            </w:pPr>
            <w:r>
              <w:rPr>
                <w:rFonts w:ascii="Calibri" w:hAnsi="Calibri" w:cs="Calibri"/>
                <w:color w:val="000000"/>
              </w:rPr>
              <w:t>651</w:t>
            </w:r>
          </w:p>
        </w:tc>
        <w:tc>
          <w:tcPr>
            <w:tcW w:w="1134" w:type="dxa"/>
            <w:vAlign w:val="bottom"/>
          </w:tcPr>
          <w:p w14:paraId="128DC272" w14:textId="72C5D5FD" w:rsidR="005C702F" w:rsidRDefault="005C702F" w:rsidP="007E4395">
            <w:pPr>
              <w:jc w:val="both"/>
              <w:rPr>
                <w:rFonts w:ascii="Calibri" w:hAnsi="Calibri" w:cs="Calibri"/>
                <w:color w:val="000000"/>
              </w:rPr>
            </w:pPr>
            <w:r>
              <w:rPr>
                <w:rFonts w:ascii="Calibri" w:hAnsi="Calibri" w:cs="Calibri"/>
                <w:color w:val="000000"/>
              </w:rPr>
              <w:t>797</w:t>
            </w:r>
          </w:p>
        </w:tc>
        <w:tc>
          <w:tcPr>
            <w:tcW w:w="851" w:type="dxa"/>
            <w:vAlign w:val="bottom"/>
          </w:tcPr>
          <w:p w14:paraId="63695B2A" w14:textId="2EAE462A" w:rsidR="005C702F" w:rsidRDefault="005C702F" w:rsidP="007E4395">
            <w:pPr>
              <w:jc w:val="both"/>
              <w:rPr>
                <w:rFonts w:ascii="Calibri" w:hAnsi="Calibri" w:cs="Calibri"/>
                <w:color w:val="000000"/>
              </w:rPr>
            </w:pPr>
            <w:r>
              <w:rPr>
                <w:rFonts w:ascii="Calibri" w:hAnsi="Calibri" w:cs="Calibri"/>
                <w:color w:val="000000"/>
              </w:rPr>
              <w:t>0,1</w:t>
            </w:r>
          </w:p>
        </w:tc>
        <w:tc>
          <w:tcPr>
            <w:tcW w:w="1134" w:type="dxa"/>
            <w:vAlign w:val="bottom"/>
          </w:tcPr>
          <w:p w14:paraId="5BDB4C99" w14:textId="2184D0A2" w:rsidR="005C702F" w:rsidRDefault="005C702F" w:rsidP="007E4395">
            <w:pPr>
              <w:jc w:val="both"/>
              <w:rPr>
                <w:rFonts w:ascii="Calibri" w:hAnsi="Calibri" w:cs="Calibri"/>
                <w:color w:val="000000"/>
              </w:rPr>
            </w:pPr>
            <w:r>
              <w:rPr>
                <w:rFonts w:ascii="Calibri" w:hAnsi="Calibri" w:cs="Calibri"/>
                <w:color w:val="000000"/>
              </w:rPr>
              <w:t>2574</w:t>
            </w:r>
          </w:p>
        </w:tc>
      </w:tr>
      <w:tr w:rsidR="005C702F" w14:paraId="2B9D2529" w14:textId="77777777" w:rsidTr="005C702F">
        <w:tc>
          <w:tcPr>
            <w:tcW w:w="1944" w:type="dxa"/>
            <w:vAlign w:val="bottom"/>
          </w:tcPr>
          <w:p w14:paraId="01FF2BC1" w14:textId="77777777" w:rsidR="005C702F" w:rsidRDefault="005C702F" w:rsidP="007E4395">
            <w:pPr>
              <w:jc w:val="both"/>
              <w:rPr>
                <w:rFonts w:ascii="Calibri" w:hAnsi="Calibri" w:cs="Calibri"/>
                <w:color w:val="000000"/>
              </w:rPr>
            </w:pPr>
            <w:r>
              <w:rPr>
                <w:rFonts w:ascii="Calibri" w:hAnsi="Calibri" w:cs="Calibri"/>
                <w:color w:val="000000"/>
              </w:rPr>
              <w:t>Finants- ja kindlustustegevus</w:t>
            </w:r>
          </w:p>
        </w:tc>
        <w:tc>
          <w:tcPr>
            <w:tcW w:w="861" w:type="dxa"/>
            <w:vAlign w:val="bottom"/>
          </w:tcPr>
          <w:p w14:paraId="353E3A65" w14:textId="77777777" w:rsidR="005C702F" w:rsidRDefault="005C702F" w:rsidP="007E4395">
            <w:pPr>
              <w:jc w:val="both"/>
              <w:rPr>
                <w:rFonts w:ascii="Calibri" w:hAnsi="Calibri" w:cs="Calibri"/>
                <w:color w:val="000000"/>
              </w:rPr>
            </w:pPr>
            <w:r>
              <w:rPr>
                <w:rFonts w:ascii="Calibri" w:hAnsi="Calibri" w:cs="Calibri"/>
                <w:color w:val="000000"/>
              </w:rPr>
              <w:t>64-66</w:t>
            </w:r>
          </w:p>
        </w:tc>
        <w:tc>
          <w:tcPr>
            <w:tcW w:w="1030" w:type="dxa"/>
            <w:vAlign w:val="bottom"/>
          </w:tcPr>
          <w:p w14:paraId="2F52FFC6" w14:textId="6A357698" w:rsidR="005C702F" w:rsidRDefault="005C702F" w:rsidP="007E4395">
            <w:pPr>
              <w:jc w:val="both"/>
              <w:rPr>
                <w:rFonts w:ascii="Calibri" w:hAnsi="Calibri" w:cs="Calibri"/>
                <w:color w:val="000000"/>
              </w:rPr>
            </w:pPr>
            <w:r>
              <w:rPr>
                <w:rFonts w:ascii="Calibri" w:hAnsi="Calibri" w:cs="Calibri"/>
                <w:color w:val="000000"/>
              </w:rPr>
              <w:t>12,3</w:t>
            </w:r>
          </w:p>
        </w:tc>
        <w:tc>
          <w:tcPr>
            <w:tcW w:w="1053" w:type="dxa"/>
            <w:vAlign w:val="bottom"/>
          </w:tcPr>
          <w:p w14:paraId="1E2B1990" w14:textId="64F18E4A" w:rsidR="005C702F" w:rsidRDefault="005C702F" w:rsidP="007E4395">
            <w:pPr>
              <w:jc w:val="both"/>
              <w:rPr>
                <w:rFonts w:ascii="Calibri" w:hAnsi="Calibri" w:cs="Calibri"/>
                <w:color w:val="000000"/>
              </w:rPr>
            </w:pPr>
            <w:r>
              <w:rPr>
                <w:rFonts w:ascii="Calibri" w:hAnsi="Calibri" w:cs="Calibri"/>
                <w:color w:val="000000"/>
              </w:rPr>
              <w:t>-305</w:t>
            </w:r>
          </w:p>
        </w:tc>
        <w:tc>
          <w:tcPr>
            <w:tcW w:w="1344" w:type="dxa"/>
            <w:vAlign w:val="bottom"/>
          </w:tcPr>
          <w:p w14:paraId="7680597D" w14:textId="20043EC1" w:rsidR="005C702F" w:rsidRDefault="005C702F" w:rsidP="007E4395">
            <w:pPr>
              <w:jc w:val="both"/>
              <w:rPr>
                <w:rFonts w:ascii="Calibri" w:hAnsi="Calibri" w:cs="Calibri"/>
                <w:color w:val="000000"/>
              </w:rPr>
            </w:pPr>
            <w:r>
              <w:rPr>
                <w:rFonts w:ascii="Calibri" w:hAnsi="Calibri" w:cs="Calibri"/>
                <w:color w:val="000000"/>
              </w:rPr>
              <w:t>94</w:t>
            </w:r>
          </w:p>
        </w:tc>
        <w:tc>
          <w:tcPr>
            <w:tcW w:w="1134" w:type="dxa"/>
            <w:vAlign w:val="bottom"/>
          </w:tcPr>
          <w:p w14:paraId="34F608BF" w14:textId="2DF9C366" w:rsidR="005C702F" w:rsidRDefault="005C702F" w:rsidP="007E4395">
            <w:pPr>
              <w:jc w:val="both"/>
              <w:rPr>
                <w:rFonts w:ascii="Calibri" w:hAnsi="Calibri" w:cs="Calibri"/>
                <w:color w:val="000000"/>
              </w:rPr>
            </w:pPr>
            <w:r>
              <w:rPr>
                <w:rFonts w:ascii="Calibri" w:hAnsi="Calibri" w:cs="Calibri"/>
                <w:color w:val="000000"/>
              </w:rPr>
              <w:t>185</w:t>
            </w:r>
          </w:p>
        </w:tc>
        <w:tc>
          <w:tcPr>
            <w:tcW w:w="851" w:type="dxa"/>
            <w:vAlign w:val="bottom"/>
          </w:tcPr>
          <w:p w14:paraId="5DBA566F" w14:textId="4F82403B" w:rsidR="005C702F" w:rsidRDefault="005C702F" w:rsidP="007E4395">
            <w:pPr>
              <w:jc w:val="both"/>
              <w:rPr>
                <w:rFonts w:ascii="Calibri" w:hAnsi="Calibri" w:cs="Calibri"/>
                <w:color w:val="000000"/>
              </w:rPr>
            </w:pPr>
            <w:r>
              <w:rPr>
                <w:rFonts w:ascii="Calibri" w:hAnsi="Calibri" w:cs="Calibri"/>
                <w:color w:val="000000"/>
              </w:rPr>
              <w:t>0,1</w:t>
            </w:r>
          </w:p>
        </w:tc>
        <w:tc>
          <w:tcPr>
            <w:tcW w:w="1134" w:type="dxa"/>
            <w:vAlign w:val="bottom"/>
          </w:tcPr>
          <w:p w14:paraId="5092D25D" w14:textId="03590BBE" w:rsidR="005C702F" w:rsidRDefault="005C702F" w:rsidP="007E4395">
            <w:pPr>
              <w:jc w:val="both"/>
              <w:rPr>
                <w:rFonts w:ascii="Calibri" w:hAnsi="Calibri" w:cs="Calibri"/>
                <w:color w:val="000000"/>
              </w:rPr>
            </w:pPr>
            <w:r>
              <w:rPr>
                <w:rFonts w:ascii="Calibri" w:hAnsi="Calibri" w:cs="Calibri"/>
                <w:color w:val="000000"/>
              </w:rPr>
              <w:t>2461</w:t>
            </w:r>
          </w:p>
        </w:tc>
      </w:tr>
      <w:tr w:rsidR="005C702F" w14:paraId="3440D11F" w14:textId="77777777" w:rsidTr="005C702F">
        <w:tc>
          <w:tcPr>
            <w:tcW w:w="1944" w:type="dxa"/>
            <w:vAlign w:val="bottom"/>
          </w:tcPr>
          <w:p w14:paraId="46A75489" w14:textId="77777777" w:rsidR="005C702F" w:rsidRDefault="005C702F" w:rsidP="007E4395">
            <w:pPr>
              <w:jc w:val="both"/>
              <w:rPr>
                <w:rFonts w:ascii="Calibri" w:hAnsi="Calibri" w:cs="Calibri"/>
                <w:color w:val="000000"/>
              </w:rPr>
            </w:pPr>
            <w:r>
              <w:rPr>
                <w:rFonts w:ascii="Calibri" w:hAnsi="Calibri" w:cs="Calibri"/>
                <w:color w:val="000000"/>
              </w:rPr>
              <w:t>Kinnisvaraalane tegevus</w:t>
            </w:r>
          </w:p>
        </w:tc>
        <w:tc>
          <w:tcPr>
            <w:tcW w:w="861" w:type="dxa"/>
            <w:vAlign w:val="bottom"/>
          </w:tcPr>
          <w:p w14:paraId="1C62DFEB" w14:textId="77777777" w:rsidR="005C702F" w:rsidRDefault="005C702F" w:rsidP="007E4395">
            <w:pPr>
              <w:jc w:val="both"/>
              <w:rPr>
                <w:rFonts w:ascii="Calibri" w:hAnsi="Calibri" w:cs="Calibri"/>
                <w:color w:val="000000"/>
              </w:rPr>
            </w:pPr>
            <w:r>
              <w:rPr>
                <w:rFonts w:ascii="Calibri" w:hAnsi="Calibri" w:cs="Calibri"/>
                <w:color w:val="000000"/>
              </w:rPr>
              <w:t>68</w:t>
            </w:r>
          </w:p>
        </w:tc>
        <w:tc>
          <w:tcPr>
            <w:tcW w:w="1030" w:type="dxa"/>
            <w:vAlign w:val="bottom"/>
          </w:tcPr>
          <w:p w14:paraId="1834ED2D" w14:textId="2C8194A0" w:rsidR="005C702F" w:rsidRDefault="005C702F" w:rsidP="007E4395">
            <w:pPr>
              <w:jc w:val="both"/>
              <w:rPr>
                <w:rFonts w:ascii="Calibri" w:hAnsi="Calibri" w:cs="Calibri"/>
                <w:color w:val="000000"/>
              </w:rPr>
            </w:pPr>
            <w:r>
              <w:rPr>
                <w:rFonts w:ascii="Calibri" w:hAnsi="Calibri" w:cs="Calibri"/>
                <w:color w:val="000000"/>
              </w:rPr>
              <w:t>10,6</w:t>
            </w:r>
          </w:p>
        </w:tc>
        <w:tc>
          <w:tcPr>
            <w:tcW w:w="1053" w:type="dxa"/>
            <w:vAlign w:val="bottom"/>
          </w:tcPr>
          <w:p w14:paraId="417B90AB" w14:textId="0F431BF8" w:rsidR="005C702F" w:rsidRDefault="005C702F" w:rsidP="007E4395">
            <w:pPr>
              <w:jc w:val="both"/>
              <w:rPr>
                <w:rFonts w:ascii="Calibri" w:hAnsi="Calibri" w:cs="Calibri"/>
                <w:color w:val="000000"/>
              </w:rPr>
            </w:pPr>
            <w:r>
              <w:rPr>
                <w:rFonts w:ascii="Calibri" w:hAnsi="Calibri" w:cs="Calibri"/>
                <w:color w:val="000000"/>
              </w:rPr>
              <w:t>96</w:t>
            </w:r>
          </w:p>
        </w:tc>
        <w:tc>
          <w:tcPr>
            <w:tcW w:w="1344" w:type="dxa"/>
            <w:vAlign w:val="bottom"/>
          </w:tcPr>
          <w:p w14:paraId="3C69C83D" w14:textId="1BD53FC1" w:rsidR="005C702F" w:rsidRDefault="005C702F" w:rsidP="007E4395">
            <w:pPr>
              <w:jc w:val="both"/>
              <w:rPr>
                <w:rFonts w:ascii="Calibri" w:hAnsi="Calibri" w:cs="Calibri"/>
                <w:color w:val="000000"/>
              </w:rPr>
            </w:pPr>
            <w:r>
              <w:rPr>
                <w:rFonts w:ascii="Calibri" w:hAnsi="Calibri" w:cs="Calibri"/>
                <w:color w:val="000000"/>
              </w:rPr>
              <w:t>9</w:t>
            </w:r>
          </w:p>
        </w:tc>
        <w:tc>
          <w:tcPr>
            <w:tcW w:w="1134" w:type="dxa"/>
            <w:vAlign w:val="bottom"/>
          </w:tcPr>
          <w:p w14:paraId="41339704" w14:textId="74E9E8B3" w:rsidR="005C702F" w:rsidRDefault="005C702F" w:rsidP="007E4395">
            <w:pPr>
              <w:jc w:val="both"/>
              <w:rPr>
                <w:rFonts w:ascii="Calibri" w:hAnsi="Calibri" w:cs="Calibri"/>
                <w:color w:val="000000"/>
              </w:rPr>
            </w:pPr>
            <w:r>
              <w:rPr>
                <w:rFonts w:ascii="Calibri" w:hAnsi="Calibri" w:cs="Calibri"/>
                <w:color w:val="000000"/>
              </w:rPr>
              <w:t>191</w:t>
            </w:r>
          </w:p>
        </w:tc>
        <w:tc>
          <w:tcPr>
            <w:tcW w:w="851" w:type="dxa"/>
            <w:vAlign w:val="bottom"/>
          </w:tcPr>
          <w:p w14:paraId="73353989" w14:textId="0449737F" w:rsidR="005C702F" w:rsidRDefault="005C702F" w:rsidP="007E4395">
            <w:pPr>
              <w:jc w:val="both"/>
              <w:rPr>
                <w:rFonts w:ascii="Calibri" w:hAnsi="Calibri" w:cs="Calibri"/>
                <w:color w:val="000000"/>
              </w:rPr>
            </w:pPr>
            <w:r>
              <w:rPr>
                <w:rFonts w:ascii="Calibri" w:hAnsi="Calibri" w:cs="Calibri"/>
                <w:color w:val="000000"/>
              </w:rPr>
              <w:t>0,1</w:t>
            </w:r>
          </w:p>
        </w:tc>
        <w:tc>
          <w:tcPr>
            <w:tcW w:w="1134" w:type="dxa"/>
            <w:vAlign w:val="bottom"/>
          </w:tcPr>
          <w:p w14:paraId="5BED28BD" w14:textId="2A438C8D" w:rsidR="005C702F" w:rsidRDefault="005C702F" w:rsidP="007E4395">
            <w:pPr>
              <w:jc w:val="both"/>
              <w:rPr>
                <w:rFonts w:ascii="Calibri" w:hAnsi="Calibri" w:cs="Calibri"/>
                <w:color w:val="000000"/>
              </w:rPr>
            </w:pPr>
            <w:r>
              <w:rPr>
                <w:rFonts w:ascii="Calibri" w:hAnsi="Calibri" w:cs="Calibri"/>
                <w:color w:val="000000"/>
              </w:rPr>
              <w:t>1050</w:t>
            </w:r>
          </w:p>
        </w:tc>
      </w:tr>
      <w:tr w:rsidR="005C702F" w14:paraId="2EA3FEAD" w14:textId="77777777" w:rsidTr="005C702F">
        <w:tc>
          <w:tcPr>
            <w:tcW w:w="1944" w:type="dxa"/>
            <w:vAlign w:val="bottom"/>
          </w:tcPr>
          <w:p w14:paraId="35A372C5" w14:textId="77777777" w:rsidR="005C702F" w:rsidRDefault="005C702F" w:rsidP="007E4395">
            <w:pPr>
              <w:jc w:val="both"/>
              <w:rPr>
                <w:rFonts w:ascii="Calibri" w:hAnsi="Calibri" w:cs="Calibri"/>
                <w:color w:val="000000"/>
              </w:rPr>
            </w:pPr>
            <w:r>
              <w:rPr>
                <w:rFonts w:ascii="Calibri" w:hAnsi="Calibri" w:cs="Calibri"/>
                <w:color w:val="000000"/>
              </w:rPr>
              <w:t>Kutse-, teadus- ja tehnikaalane tegevus</w:t>
            </w:r>
          </w:p>
        </w:tc>
        <w:tc>
          <w:tcPr>
            <w:tcW w:w="861" w:type="dxa"/>
            <w:vAlign w:val="bottom"/>
          </w:tcPr>
          <w:p w14:paraId="5A76C79B" w14:textId="77777777" w:rsidR="005C702F" w:rsidRDefault="005C702F" w:rsidP="007E4395">
            <w:pPr>
              <w:jc w:val="both"/>
              <w:rPr>
                <w:rFonts w:ascii="Calibri" w:hAnsi="Calibri" w:cs="Calibri"/>
                <w:color w:val="000000"/>
              </w:rPr>
            </w:pPr>
            <w:r>
              <w:rPr>
                <w:rFonts w:ascii="Calibri" w:hAnsi="Calibri" w:cs="Calibri"/>
                <w:color w:val="000000"/>
              </w:rPr>
              <w:t>69-75</w:t>
            </w:r>
          </w:p>
        </w:tc>
        <w:tc>
          <w:tcPr>
            <w:tcW w:w="1030" w:type="dxa"/>
            <w:vAlign w:val="bottom"/>
          </w:tcPr>
          <w:p w14:paraId="19D46F8F" w14:textId="728D4273" w:rsidR="005C702F" w:rsidRDefault="005C702F" w:rsidP="007E4395">
            <w:pPr>
              <w:jc w:val="both"/>
              <w:rPr>
                <w:rFonts w:ascii="Calibri" w:hAnsi="Calibri" w:cs="Calibri"/>
                <w:color w:val="000000"/>
              </w:rPr>
            </w:pPr>
            <w:r>
              <w:rPr>
                <w:rFonts w:ascii="Calibri" w:hAnsi="Calibri" w:cs="Calibri"/>
                <w:color w:val="000000"/>
              </w:rPr>
              <w:t>30,5</w:t>
            </w:r>
          </w:p>
        </w:tc>
        <w:tc>
          <w:tcPr>
            <w:tcW w:w="1053" w:type="dxa"/>
            <w:vAlign w:val="bottom"/>
          </w:tcPr>
          <w:p w14:paraId="05C88A28" w14:textId="10EEF4B8" w:rsidR="005C702F" w:rsidRDefault="005C702F" w:rsidP="007E4395">
            <w:pPr>
              <w:jc w:val="both"/>
              <w:rPr>
                <w:rFonts w:ascii="Calibri" w:hAnsi="Calibri" w:cs="Calibri"/>
                <w:color w:val="000000"/>
              </w:rPr>
            </w:pPr>
            <w:r>
              <w:rPr>
                <w:rFonts w:ascii="Calibri" w:hAnsi="Calibri" w:cs="Calibri"/>
                <w:color w:val="000000"/>
              </w:rPr>
              <w:t>66</w:t>
            </w:r>
          </w:p>
        </w:tc>
        <w:tc>
          <w:tcPr>
            <w:tcW w:w="1344" w:type="dxa"/>
            <w:vAlign w:val="bottom"/>
          </w:tcPr>
          <w:p w14:paraId="7968E5C3" w14:textId="772488DD" w:rsidR="005C702F" w:rsidRDefault="005C702F" w:rsidP="007E4395">
            <w:pPr>
              <w:jc w:val="both"/>
              <w:rPr>
                <w:rFonts w:ascii="Calibri" w:hAnsi="Calibri" w:cs="Calibri"/>
                <w:color w:val="000000"/>
              </w:rPr>
            </w:pPr>
            <w:r>
              <w:rPr>
                <w:rFonts w:ascii="Calibri" w:hAnsi="Calibri" w:cs="Calibri"/>
                <w:color w:val="000000"/>
              </w:rPr>
              <w:t>63</w:t>
            </w:r>
          </w:p>
        </w:tc>
        <w:tc>
          <w:tcPr>
            <w:tcW w:w="1134" w:type="dxa"/>
            <w:vAlign w:val="bottom"/>
          </w:tcPr>
          <w:p w14:paraId="484363BF" w14:textId="4CEFF7D0" w:rsidR="005C702F" w:rsidRDefault="005C702F" w:rsidP="007E4395">
            <w:pPr>
              <w:jc w:val="both"/>
              <w:rPr>
                <w:rFonts w:ascii="Calibri" w:hAnsi="Calibri" w:cs="Calibri"/>
                <w:color w:val="000000"/>
              </w:rPr>
            </w:pPr>
            <w:r>
              <w:rPr>
                <w:rFonts w:ascii="Calibri" w:hAnsi="Calibri" w:cs="Calibri"/>
                <w:color w:val="000000"/>
              </w:rPr>
              <w:t>201</w:t>
            </w:r>
          </w:p>
        </w:tc>
        <w:tc>
          <w:tcPr>
            <w:tcW w:w="851" w:type="dxa"/>
            <w:vAlign w:val="bottom"/>
          </w:tcPr>
          <w:p w14:paraId="5C56849B" w14:textId="117B01A4" w:rsidR="005C702F" w:rsidRDefault="005C702F" w:rsidP="007E4395">
            <w:pPr>
              <w:jc w:val="both"/>
              <w:rPr>
                <w:rFonts w:ascii="Calibri" w:hAnsi="Calibri" w:cs="Calibri"/>
                <w:color w:val="000000"/>
              </w:rPr>
            </w:pPr>
            <w:r>
              <w:rPr>
                <w:rFonts w:ascii="Calibri" w:hAnsi="Calibri" w:cs="Calibri"/>
                <w:color w:val="000000"/>
              </w:rPr>
              <w:t>0,3</w:t>
            </w:r>
          </w:p>
        </w:tc>
        <w:tc>
          <w:tcPr>
            <w:tcW w:w="1134" w:type="dxa"/>
            <w:vAlign w:val="bottom"/>
          </w:tcPr>
          <w:p w14:paraId="7E2A0F90" w14:textId="004B324D" w:rsidR="005C702F" w:rsidRDefault="005C702F" w:rsidP="007E4395">
            <w:pPr>
              <w:jc w:val="both"/>
              <w:rPr>
                <w:rFonts w:ascii="Calibri" w:hAnsi="Calibri" w:cs="Calibri"/>
                <w:color w:val="000000"/>
              </w:rPr>
            </w:pPr>
            <w:r>
              <w:rPr>
                <w:rFonts w:ascii="Calibri" w:hAnsi="Calibri" w:cs="Calibri"/>
                <w:color w:val="000000"/>
              </w:rPr>
              <w:t>1676</w:t>
            </w:r>
          </w:p>
        </w:tc>
      </w:tr>
      <w:tr w:rsidR="005C702F" w14:paraId="436505D4" w14:textId="77777777" w:rsidTr="005C702F">
        <w:tc>
          <w:tcPr>
            <w:tcW w:w="1944" w:type="dxa"/>
            <w:vAlign w:val="bottom"/>
          </w:tcPr>
          <w:p w14:paraId="646DF3F5" w14:textId="77777777" w:rsidR="005C702F" w:rsidRDefault="005C702F" w:rsidP="007E4395">
            <w:pPr>
              <w:jc w:val="both"/>
              <w:rPr>
                <w:rFonts w:ascii="Calibri" w:hAnsi="Calibri" w:cs="Calibri"/>
                <w:color w:val="000000"/>
              </w:rPr>
            </w:pPr>
            <w:r>
              <w:rPr>
                <w:rFonts w:ascii="Calibri" w:hAnsi="Calibri" w:cs="Calibri"/>
                <w:color w:val="000000"/>
              </w:rPr>
              <w:t>Haldus- ja abitegevused</w:t>
            </w:r>
          </w:p>
        </w:tc>
        <w:tc>
          <w:tcPr>
            <w:tcW w:w="861" w:type="dxa"/>
            <w:vAlign w:val="bottom"/>
          </w:tcPr>
          <w:p w14:paraId="6934F849" w14:textId="77777777" w:rsidR="005C702F" w:rsidRDefault="005C702F" w:rsidP="007E4395">
            <w:pPr>
              <w:jc w:val="both"/>
              <w:rPr>
                <w:rFonts w:ascii="Calibri" w:hAnsi="Calibri" w:cs="Calibri"/>
                <w:color w:val="000000"/>
              </w:rPr>
            </w:pPr>
            <w:r>
              <w:rPr>
                <w:rFonts w:ascii="Calibri" w:hAnsi="Calibri" w:cs="Calibri"/>
                <w:color w:val="000000"/>
              </w:rPr>
              <w:t>77-82</w:t>
            </w:r>
          </w:p>
        </w:tc>
        <w:tc>
          <w:tcPr>
            <w:tcW w:w="1030" w:type="dxa"/>
            <w:vAlign w:val="bottom"/>
          </w:tcPr>
          <w:p w14:paraId="3025F325" w14:textId="680C0408" w:rsidR="005C702F" w:rsidRDefault="005C702F" w:rsidP="007E4395">
            <w:pPr>
              <w:jc w:val="both"/>
              <w:rPr>
                <w:rFonts w:ascii="Calibri" w:hAnsi="Calibri" w:cs="Calibri"/>
                <w:color w:val="000000"/>
              </w:rPr>
            </w:pPr>
            <w:r>
              <w:rPr>
                <w:rFonts w:ascii="Calibri" w:hAnsi="Calibri" w:cs="Calibri"/>
                <w:color w:val="000000"/>
              </w:rPr>
              <w:t>24,1</w:t>
            </w:r>
          </w:p>
        </w:tc>
        <w:tc>
          <w:tcPr>
            <w:tcW w:w="1053" w:type="dxa"/>
            <w:vAlign w:val="bottom"/>
          </w:tcPr>
          <w:p w14:paraId="3AED9820" w14:textId="3727A335" w:rsidR="005C702F" w:rsidRDefault="005C702F" w:rsidP="007E4395">
            <w:pPr>
              <w:jc w:val="both"/>
              <w:rPr>
                <w:rFonts w:ascii="Calibri" w:hAnsi="Calibri" w:cs="Calibri"/>
                <w:color w:val="000000"/>
              </w:rPr>
            </w:pPr>
            <w:r>
              <w:rPr>
                <w:rFonts w:ascii="Calibri" w:hAnsi="Calibri" w:cs="Calibri"/>
                <w:color w:val="000000"/>
              </w:rPr>
              <w:t>-68</w:t>
            </w:r>
          </w:p>
        </w:tc>
        <w:tc>
          <w:tcPr>
            <w:tcW w:w="1344" w:type="dxa"/>
            <w:vAlign w:val="bottom"/>
          </w:tcPr>
          <w:p w14:paraId="47F1DA9E" w14:textId="5E231B03" w:rsidR="005C702F" w:rsidRDefault="005C702F" w:rsidP="007E4395">
            <w:pPr>
              <w:jc w:val="both"/>
              <w:rPr>
                <w:rFonts w:ascii="Calibri" w:hAnsi="Calibri" w:cs="Calibri"/>
                <w:color w:val="000000"/>
              </w:rPr>
            </w:pPr>
            <w:r>
              <w:rPr>
                <w:rFonts w:ascii="Calibri" w:hAnsi="Calibri" w:cs="Calibri"/>
                <w:color w:val="000000"/>
              </w:rPr>
              <w:t>40</w:t>
            </w:r>
          </w:p>
        </w:tc>
        <w:tc>
          <w:tcPr>
            <w:tcW w:w="1134" w:type="dxa"/>
            <w:vAlign w:val="bottom"/>
          </w:tcPr>
          <w:p w14:paraId="245CB4D2" w14:textId="61732F24" w:rsidR="005C702F" w:rsidRDefault="005C702F" w:rsidP="007E4395">
            <w:pPr>
              <w:jc w:val="both"/>
              <w:rPr>
                <w:rFonts w:ascii="Calibri" w:hAnsi="Calibri" w:cs="Calibri"/>
                <w:color w:val="000000"/>
              </w:rPr>
            </w:pPr>
            <w:r>
              <w:rPr>
                <w:rFonts w:ascii="Calibri" w:hAnsi="Calibri" w:cs="Calibri"/>
                <w:color w:val="000000"/>
              </w:rPr>
              <w:t>990</w:t>
            </w:r>
          </w:p>
        </w:tc>
        <w:tc>
          <w:tcPr>
            <w:tcW w:w="851" w:type="dxa"/>
            <w:vAlign w:val="bottom"/>
          </w:tcPr>
          <w:p w14:paraId="13919277" w14:textId="475ACB6E" w:rsidR="005C702F" w:rsidRDefault="005C702F" w:rsidP="007E4395">
            <w:pPr>
              <w:jc w:val="both"/>
              <w:rPr>
                <w:rFonts w:ascii="Calibri" w:hAnsi="Calibri" w:cs="Calibri"/>
                <w:color w:val="000000"/>
              </w:rPr>
            </w:pPr>
            <w:r>
              <w:rPr>
                <w:rFonts w:ascii="Calibri" w:hAnsi="Calibri" w:cs="Calibri"/>
                <w:color w:val="000000"/>
              </w:rPr>
              <w:t>0,5</w:t>
            </w:r>
          </w:p>
        </w:tc>
        <w:tc>
          <w:tcPr>
            <w:tcW w:w="1134" w:type="dxa"/>
            <w:vAlign w:val="bottom"/>
          </w:tcPr>
          <w:p w14:paraId="52AC9F38" w14:textId="1B4FDD09" w:rsidR="005C702F" w:rsidRDefault="005C702F" w:rsidP="007E4395">
            <w:pPr>
              <w:jc w:val="both"/>
              <w:rPr>
                <w:rFonts w:ascii="Calibri" w:hAnsi="Calibri" w:cs="Calibri"/>
                <w:color w:val="000000"/>
              </w:rPr>
            </w:pPr>
            <w:r>
              <w:rPr>
                <w:rFonts w:ascii="Calibri" w:hAnsi="Calibri" w:cs="Calibri"/>
                <w:color w:val="000000"/>
              </w:rPr>
              <w:t>1212</w:t>
            </w:r>
          </w:p>
        </w:tc>
      </w:tr>
      <w:tr w:rsidR="005C702F" w14:paraId="25A4561A" w14:textId="77777777" w:rsidTr="005C702F">
        <w:tc>
          <w:tcPr>
            <w:tcW w:w="1944" w:type="dxa"/>
            <w:vAlign w:val="bottom"/>
          </w:tcPr>
          <w:p w14:paraId="159D71BB" w14:textId="77777777" w:rsidR="005C702F" w:rsidRDefault="005C702F" w:rsidP="007E4395">
            <w:pPr>
              <w:jc w:val="both"/>
              <w:rPr>
                <w:rFonts w:ascii="Calibri" w:hAnsi="Calibri" w:cs="Calibri"/>
                <w:color w:val="000000"/>
              </w:rPr>
            </w:pPr>
            <w:r>
              <w:rPr>
                <w:rFonts w:ascii="Calibri" w:hAnsi="Calibri" w:cs="Calibri"/>
                <w:color w:val="000000"/>
              </w:rPr>
              <w:t>Avalik haldus ja riigikaitse</w:t>
            </w:r>
          </w:p>
        </w:tc>
        <w:tc>
          <w:tcPr>
            <w:tcW w:w="861" w:type="dxa"/>
            <w:vAlign w:val="bottom"/>
          </w:tcPr>
          <w:p w14:paraId="5420D2FF" w14:textId="77777777" w:rsidR="005C702F" w:rsidRDefault="005C702F" w:rsidP="007E4395">
            <w:pPr>
              <w:jc w:val="both"/>
              <w:rPr>
                <w:rFonts w:ascii="Calibri" w:hAnsi="Calibri" w:cs="Calibri"/>
                <w:color w:val="000000"/>
              </w:rPr>
            </w:pPr>
            <w:r>
              <w:rPr>
                <w:rFonts w:ascii="Calibri" w:hAnsi="Calibri" w:cs="Calibri"/>
                <w:color w:val="000000"/>
              </w:rPr>
              <w:t>84</w:t>
            </w:r>
          </w:p>
        </w:tc>
        <w:tc>
          <w:tcPr>
            <w:tcW w:w="1030" w:type="dxa"/>
            <w:vAlign w:val="bottom"/>
          </w:tcPr>
          <w:p w14:paraId="0A4B6618" w14:textId="12074A35" w:rsidR="005C702F" w:rsidRDefault="005C702F" w:rsidP="007E4395">
            <w:pPr>
              <w:jc w:val="both"/>
              <w:rPr>
                <w:rFonts w:ascii="Calibri" w:hAnsi="Calibri" w:cs="Calibri"/>
                <w:color w:val="000000"/>
              </w:rPr>
            </w:pPr>
            <w:r>
              <w:rPr>
                <w:rFonts w:ascii="Calibri" w:hAnsi="Calibri" w:cs="Calibri"/>
                <w:color w:val="000000"/>
              </w:rPr>
              <w:t>39,1</w:t>
            </w:r>
          </w:p>
        </w:tc>
        <w:tc>
          <w:tcPr>
            <w:tcW w:w="1053" w:type="dxa"/>
            <w:vAlign w:val="bottom"/>
          </w:tcPr>
          <w:p w14:paraId="099857F3" w14:textId="3741785D" w:rsidR="005C702F" w:rsidRDefault="005C702F" w:rsidP="007E4395">
            <w:pPr>
              <w:jc w:val="both"/>
              <w:rPr>
                <w:rFonts w:ascii="Calibri" w:hAnsi="Calibri" w:cs="Calibri"/>
                <w:color w:val="000000"/>
              </w:rPr>
            </w:pPr>
            <w:r>
              <w:rPr>
                <w:rFonts w:ascii="Calibri" w:hAnsi="Calibri" w:cs="Calibri"/>
                <w:color w:val="000000"/>
              </w:rPr>
              <w:t>57</w:t>
            </w:r>
          </w:p>
        </w:tc>
        <w:tc>
          <w:tcPr>
            <w:tcW w:w="1344" w:type="dxa"/>
            <w:vAlign w:val="bottom"/>
          </w:tcPr>
          <w:p w14:paraId="3472C5B7" w14:textId="45FC00F6" w:rsidR="005C702F" w:rsidRDefault="005C702F" w:rsidP="007E4395">
            <w:pPr>
              <w:jc w:val="both"/>
              <w:rPr>
                <w:rFonts w:ascii="Calibri" w:hAnsi="Calibri" w:cs="Calibri"/>
                <w:color w:val="000000"/>
              </w:rPr>
            </w:pPr>
            <w:r>
              <w:rPr>
                <w:rFonts w:ascii="Calibri" w:hAnsi="Calibri" w:cs="Calibri"/>
                <w:color w:val="000000"/>
              </w:rPr>
              <w:t>1</w:t>
            </w:r>
          </w:p>
        </w:tc>
        <w:tc>
          <w:tcPr>
            <w:tcW w:w="1134" w:type="dxa"/>
            <w:vAlign w:val="bottom"/>
          </w:tcPr>
          <w:p w14:paraId="3217DF6A" w14:textId="5EEA7E3D" w:rsidR="005C702F" w:rsidRDefault="005C702F" w:rsidP="007E4395">
            <w:pPr>
              <w:jc w:val="both"/>
              <w:rPr>
                <w:rFonts w:ascii="Calibri" w:hAnsi="Calibri" w:cs="Calibri"/>
                <w:color w:val="000000"/>
              </w:rPr>
            </w:pPr>
            <w:r>
              <w:rPr>
                <w:rFonts w:ascii="Calibri" w:hAnsi="Calibri" w:cs="Calibri"/>
                <w:color w:val="000000"/>
              </w:rPr>
              <w:t>6</w:t>
            </w:r>
          </w:p>
        </w:tc>
        <w:tc>
          <w:tcPr>
            <w:tcW w:w="851" w:type="dxa"/>
            <w:vAlign w:val="bottom"/>
          </w:tcPr>
          <w:p w14:paraId="58E2A87E" w14:textId="5590AC00" w:rsidR="005C702F" w:rsidRDefault="005C702F" w:rsidP="007E4395">
            <w:pPr>
              <w:jc w:val="both"/>
              <w:rPr>
                <w:rFonts w:ascii="Calibri" w:hAnsi="Calibri" w:cs="Calibri"/>
                <w:color w:val="000000"/>
              </w:rPr>
            </w:pPr>
            <w:r>
              <w:rPr>
                <w:rFonts w:ascii="Calibri" w:hAnsi="Calibri" w:cs="Calibri"/>
                <w:color w:val="000000"/>
              </w:rPr>
              <w:t>0,2</w:t>
            </w:r>
          </w:p>
        </w:tc>
        <w:tc>
          <w:tcPr>
            <w:tcW w:w="1134" w:type="dxa"/>
            <w:vAlign w:val="bottom"/>
          </w:tcPr>
          <w:p w14:paraId="0A66D274" w14:textId="534D6B00" w:rsidR="005C702F" w:rsidRDefault="005C702F" w:rsidP="007E4395">
            <w:pPr>
              <w:jc w:val="both"/>
              <w:rPr>
                <w:rFonts w:ascii="Calibri" w:hAnsi="Calibri" w:cs="Calibri"/>
                <w:color w:val="000000"/>
              </w:rPr>
            </w:pPr>
            <w:r>
              <w:rPr>
                <w:rFonts w:ascii="Calibri" w:hAnsi="Calibri" w:cs="Calibri"/>
                <w:color w:val="000000"/>
              </w:rPr>
              <w:t>1835</w:t>
            </w:r>
          </w:p>
        </w:tc>
      </w:tr>
      <w:tr w:rsidR="005C702F" w14:paraId="26CCA75B" w14:textId="77777777" w:rsidTr="005C702F">
        <w:tc>
          <w:tcPr>
            <w:tcW w:w="1944" w:type="dxa"/>
            <w:vAlign w:val="bottom"/>
          </w:tcPr>
          <w:p w14:paraId="2C87F27F" w14:textId="77777777" w:rsidR="005C702F" w:rsidRDefault="005C702F" w:rsidP="007E4395">
            <w:pPr>
              <w:jc w:val="both"/>
              <w:rPr>
                <w:rFonts w:ascii="Calibri" w:hAnsi="Calibri" w:cs="Calibri"/>
                <w:color w:val="000000"/>
              </w:rPr>
            </w:pPr>
            <w:r>
              <w:rPr>
                <w:rFonts w:ascii="Calibri" w:hAnsi="Calibri" w:cs="Calibri"/>
                <w:color w:val="000000"/>
              </w:rPr>
              <w:t>Haridus</w:t>
            </w:r>
          </w:p>
        </w:tc>
        <w:tc>
          <w:tcPr>
            <w:tcW w:w="861" w:type="dxa"/>
            <w:vAlign w:val="bottom"/>
          </w:tcPr>
          <w:p w14:paraId="766EBDD0" w14:textId="77777777" w:rsidR="005C702F" w:rsidRDefault="005C702F" w:rsidP="007E4395">
            <w:pPr>
              <w:jc w:val="both"/>
              <w:rPr>
                <w:rFonts w:ascii="Calibri" w:hAnsi="Calibri" w:cs="Calibri"/>
                <w:color w:val="000000"/>
              </w:rPr>
            </w:pPr>
            <w:r>
              <w:rPr>
                <w:rFonts w:ascii="Calibri" w:hAnsi="Calibri" w:cs="Calibri"/>
                <w:color w:val="000000"/>
              </w:rPr>
              <w:t>85</w:t>
            </w:r>
          </w:p>
        </w:tc>
        <w:tc>
          <w:tcPr>
            <w:tcW w:w="1030" w:type="dxa"/>
            <w:vAlign w:val="bottom"/>
          </w:tcPr>
          <w:p w14:paraId="1174BFF0" w14:textId="430D9214" w:rsidR="005C702F" w:rsidRDefault="005C702F" w:rsidP="007E4395">
            <w:pPr>
              <w:jc w:val="both"/>
              <w:rPr>
                <w:rFonts w:ascii="Calibri" w:hAnsi="Calibri" w:cs="Calibri"/>
                <w:color w:val="000000"/>
              </w:rPr>
            </w:pPr>
            <w:r>
              <w:rPr>
                <w:rFonts w:ascii="Calibri" w:hAnsi="Calibri" w:cs="Calibri"/>
                <w:color w:val="000000"/>
              </w:rPr>
              <w:t>59,8</w:t>
            </w:r>
          </w:p>
        </w:tc>
        <w:tc>
          <w:tcPr>
            <w:tcW w:w="1053" w:type="dxa"/>
            <w:vAlign w:val="bottom"/>
          </w:tcPr>
          <w:p w14:paraId="46F418E7" w14:textId="2DB228ED" w:rsidR="005C702F" w:rsidRDefault="005C702F" w:rsidP="007E4395">
            <w:pPr>
              <w:jc w:val="both"/>
              <w:rPr>
                <w:rFonts w:ascii="Calibri" w:hAnsi="Calibri" w:cs="Calibri"/>
                <w:color w:val="000000"/>
              </w:rPr>
            </w:pPr>
            <w:r>
              <w:rPr>
                <w:rFonts w:ascii="Calibri" w:hAnsi="Calibri" w:cs="Calibri"/>
                <w:color w:val="000000"/>
              </w:rPr>
              <w:t>374</w:t>
            </w:r>
          </w:p>
        </w:tc>
        <w:tc>
          <w:tcPr>
            <w:tcW w:w="1344" w:type="dxa"/>
            <w:vAlign w:val="bottom"/>
          </w:tcPr>
          <w:p w14:paraId="1D6C3109" w14:textId="60BDD92F" w:rsidR="005C702F" w:rsidRDefault="005C702F" w:rsidP="007E4395">
            <w:pPr>
              <w:jc w:val="both"/>
              <w:rPr>
                <w:rFonts w:ascii="Calibri" w:hAnsi="Calibri" w:cs="Calibri"/>
                <w:color w:val="000000"/>
              </w:rPr>
            </w:pPr>
            <w:r>
              <w:rPr>
                <w:rFonts w:ascii="Calibri" w:hAnsi="Calibri" w:cs="Calibri"/>
                <w:color w:val="000000"/>
              </w:rPr>
              <w:t>65</w:t>
            </w:r>
          </w:p>
        </w:tc>
        <w:tc>
          <w:tcPr>
            <w:tcW w:w="1134" w:type="dxa"/>
            <w:vAlign w:val="bottom"/>
          </w:tcPr>
          <w:p w14:paraId="5AA1D4F3" w14:textId="6AB9D559" w:rsidR="005C702F" w:rsidRDefault="005C702F" w:rsidP="007E4395">
            <w:pPr>
              <w:jc w:val="both"/>
              <w:rPr>
                <w:rFonts w:ascii="Calibri" w:hAnsi="Calibri" w:cs="Calibri"/>
                <w:color w:val="000000"/>
              </w:rPr>
            </w:pPr>
            <w:r>
              <w:rPr>
                <w:rFonts w:ascii="Calibri" w:hAnsi="Calibri" w:cs="Calibri"/>
                <w:color w:val="000000"/>
              </w:rPr>
              <w:t>192</w:t>
            </w:r>
          </w:p>
        </w:tc>
        <w:tc>
          <w:tcPr>
            <w:tcW w:w="851" w:type="dxa"/>
            <w:vAlign w:val="bottom"/>
          </w:tcPr>
          <w:p w14:paraId="0D734E57" w14:textId="2C3E8C9A" w:rsidR="005C702F" w:rsidRDefault="005C702F" w:rsidP="007E4395">
            <w:pPr>
              <w:jc w:val="both"/>
              <w:rPr>
                <w:rFonts w:ascii="Calibri" w:hAnsi="Calibri" w:cs="Calibri"/>
                <w:color w:val="000000"/>
              </w:rPr>
            </w:pPr>
            <w:r>
              <w:rPr>
                <w:rFonts w:ascii="Calibri" w:hAnsi="Calibri" w:cs="Calibri"/>
                <w:color w:val="000000"/>
              </w:rPr>
              <w:t>0,2</w:t>
            </w:r>
          </w:p>
        </w:tc>
        <w:tc>
          <w:tcPr>
            <w:tcW w:w="1134" w:type="dxa"/>
            <w:vAlign w:val="bottom"/>
          </w:tcPr>
          <w:p w14:paraId="1B910DD7" w14:textId="3EFABD91" w:rsidR="005C702F" w:rsidRDefault="005C702F" w:rsidP="007E4395">
            <w:pPr>
              <w:jc w:val="both"/>
              <w:rPr>
                <w:rFonts w:ascii="Calibri" w:hAnsi="Calibri" w:cs="Calibri"/>
                <w:color w:val="000000"/>
              </w:rPr>
            </w:pPr>
            <w:r>
              <w:rPr>
                <w:rFonts w:ascii="Calibri" w:hAnsi="Calibri" w:cs="Calibri"/>
                <w:color w:val="000000"/>
              </w:rPr>
              <w:t>1397</w:t>
            </w:r>
          </w:p>
        </w:tc>
      </w:tr>
      <w:tr w:rsidR="005C702F" w14:paraId="02FB073A" w14:textId="77777777" w:rsidTr="005C702F">
        <w:tc>
          <w:tcPr>
            <w:tcW w:w="1944" w:type="dxa"/>
            <w:vAlign w:val="bottom"/>
          </w:tcPr>
          <w:p w14:paraId="143D1505" w14:textId="77777777" w:rsidR="005C702F" w:rsidRDefault="005C702F" w:rsidP="007E4395">
            <w:pPr>
              <w:jc w:val="both"/>
              <w:rPr>
                <w:rFonts w:ascii="Calibri" w:hAnsi="Calibri" w:cs="Calibri"/>
                <w:color w:val="000000"/>
              </w:rPr>
            </w:pPr>
            <w:r>
              <w:rPr>
                <w:rFonts w:ascii="Calibri" w:hAnsi="Calibri" w:cs="Calibri"/>
                <w:color w:val="000000"/>
              </w:rPr>
              <w:t>Tervishoid ja sotsiaalhoolekanne</w:t>
            </w:r>
          </w:p>
        </w:tc>
        <w:tc>
          <w:tcPr>
            <w:tcW w:w="861" w:type="dxa"/>
            <w:vAlign w:val="bottom"/>
          </w:tcPr>
          <w:p w14:paraId="065C14D2" w14:textId="77777777" w:rsidR="005C702F" w:rsidRDefault="005C702F" w:rsidP="007E4395">
            <w:pPr>
              <w:jc w:val="both"/>
              <w:rPr>
                <w:rFonts w:ascii="Calibri" w:hAnsi="Calibri" w:cs="Calibri"/>
                <w:color w:val="000000"/>
              </w:rPr>
            </w:pPr>
            <w:r>
              <w:rPr>
                <w:rFonts w:ascii="Calibri" w:hAnsi="Calibri" w:cs="Calibri"/>
                <w:color w:val="000000"/>
              </w:rPr>
              <w:t>86-88</w:t>
            </w:r>
          </w:p>
        </w:tc>
        <w:tc>
          <w:tcPr>
            <w:tcW w:w="1030" w:type="dxa"/>
            <w:vAlign w:val="bottom"/>
          </w:tcPr>
          <w:p w14:paraId="15977204" w14:textId="612443DE" w:rsidR="005C702F" w:rsidRDefault="005C702F" w:rsidP="007E4395">
            <w:pPr>
              <w:jc w:val="both"/>
              <w:rPr>
                <w:rFonts w:ascii="Calibri" w:hAnsi="Calibri" w:cs="Calibri"/>
                <w:color w:val="000000"/>
              </w:rPr>
            </w:pPr>
            <w:r>
              <w:rPr>
                <w:rFonts w:ascii="Calibri" w:hAnsi="Calibri" w:cs="Calibri"/>
                <w:color w:val="000000"/>
              </w:rPr>
              <w:t>40,2</w:t>
            </w:r>
          </w:p>
        </w:tc>
        <w:tc>
          <w:tcPr>
            <w:tcW w:w="1053" w:type="dxa"/>
            <w:vAlign w:val="bottom"/>
          </w:tcPr>
          <w:p w14:paraId="6DFDBFFE" w14:textId="6A86D385" w:rsidR="005C702F" w:rsidRDefault="005C702F" w:rsidP="007E4395">
            <w:pPr>
              <w:jc w:val="both"/>
              <w:rPr>
                <w:rFonts w:ascii="Calibri" w:hAnsi="Calibri" w:cs="Calibri"/>
                <w:color w:val="000000"/>
              </w:rPr>
            </w:pPr>
            <w:r>
              <w:rPr>
                <w:rFonts w:ascii="Calibri" w:hAnsi="Calibri" w:cs="Calibri"/>
                <w:color w:val="000000"/>
              </w:rPr>
              <w:t>497</w:t>
            </w:r>
          </w:p>
        </w:tc>
        <w:tc>
          <w:tcPr>
            <w:tcW w:w="1344" w:type="dxa"/>
            <w:vAlign w:val="bottom"/>
          </w:tcPr>
          <w:p w14:paraId="3ABB6A7C" w14:textId="45F050D2" w:rsidR="005C702F" w:rsidRDefault="005C702F" w:rsidP="007E4395">
            <w:pPr>
              <w:jc w:val="both"/>
              <w:rPr>
                <w:rFonts w:ascii="Calibri" w:hAnsi="Calibri" w:cs="Calibri"/>
                <w:color w:val="000000"/>
              </w:rPr>
            </w:pPr>
            <w:r>
              <w:rPr>
                <w:rFonts w:ascii="Calibri" w:hAnsi="Calibri" w:cs="Calibri"/>
                <w:color w:val="000000"/>
              </w:rPr>
              <w:t>21</w:t>
            </w:r>
          </w:p>
        </w:tc>
        <w:tc>
          <w:tcPr>
            <w:tcW w:w="1134" w:type="dxa"/>
            <w:vAlign w:val="bottom"/>
          </w:tcPr>
          <w:p w14:paraId="42F0F096" w14:textId="12FF5EB3" w:rsidR="005C702F" w:rsidRDefault="005C702F" w:rsidP="007E4395">
            <w:pPr>
              <w:jc w:val="both"/>
              <w:rPr>
                <w:rFonts w:ascii="Calibri" w:hAnsi="Calibri" w:cs="Calibri"/>
                <w:color w:val="000000"/>
              </w:rPr>
            </w:pPr>
            <w:r>
              <w:rPr>
                <w:rFonts w:ascii="Calibri" w:hAnsi="Calibri" w:cs="Calibri"/>
                <w:color w:val="000000"/>
              </w:rPr>
              <w:t>46</w:t>
            </w:r>
          </w:p>
        </w:tc>
        <w:tc>
          <w:tcPr>
            <w:tcW w:w="851" w:type="dxa"/>
            <w:vAlign w:val="bottom"/>
          </w:tcPr>
          <w:p w14:paraId="304A86A8" w14:textId="26350B5D" w:rsidR="005C702F" w:rsidRDefault="005C702F" w:rsidP="007E4395">
            <w:pPr>
              <w:jc w:val="both"/>
              <w:rPr>
                <w:rFonts w:ascii="Calibri" w:hAnsi="Calibri" w:cs="Calibri"/>
                <w:color w:val="000000"/>
              </w:rPr>
            </w:pPr>
            <w:r>
              <w:rPr>
                <w:rFonts w:ascii="Calibri" w:hAnsi="Calibri" w:cs="Calibri"/>
                <w:color w:val="000000"/>
              </w:rPr>
              <w:t>0,3</w:t>
            </w:r>
          </w:p>
        </w:tc>
        <w:tc>
          <w:tcPr>
            <w:tcW w:w="1134" w:type="dxa"/>
            <w:vAlign w:val="bottom"/>
          </w:tcPr>
          <w:p w14:paraId="361C9E8B" w14:textId="2B8B8893" w:rsidR="005C702F" w:rsidRDefault="005C702F" w:rsidP="007E4395">
            <w:pPr>
              <w:jc w:val="both"/>
              <w:rPr>
                <w:rFonts w:ascii="Calibri" w:hAnsi="Calibri" w:cs="Calibri"/>
                <w:color w:val="000000"/>
              </w:rPr>
            </w:pPr>
            <w:r>
              <w:rPr>
                <w:rFonts w:ascii="Calibri" w:hAnsi="Calibri" w:cs="Calibri"/>
                <w:color w:val="000000"/>
              </w:rPr>
              <w:t>1532</w:t>
            </w:r>
          </w:p>
        </w:tc>
      </w:tr>
      <w:tr w:rsidR="005C702F" w14:paraId="01950168" w14:textId="77777777" w:rsidTr="005C702F">
        <w:tc>
          <w:tcPr>
            <w:tcW w:w="1944" w:type="dxa"/>
            <w:vAlign w:val="bottom"/>
          </w:tcPr>
          <w:p w14:paraId="7350EF8B" w14:textId="77777777" w:rsidR="005C702F" w:rsidRDefault="005C702F" w:rsidP="007E4395">
            <w:pPr>
              <w:jc w:val="both"/>
              <w:rPr>
                <w:rFonts w:ascii="Calibri" w:hAnsi="Calibri" w:cs="Calibri"/>
                <w:color w:val="000000"/>
              </w:rPr>
            </w:pPr>
            <w:r>
              <w:rPr>
                <w:rFonts w:ascii="Calibri" w:hAnsi="Calibri" w:cs="Calibri"/>
                <w:color w:val="000000"/>
              </w:rPr>
              <w:t>Kunst, meelelahutus ja vaba aeg</w:t>
            </w:r>
          </w:p>
        </w:tc>
        <w:tc>
          <w:tcPr>
            <w:tcW w:w="861" w:type="dxa"/>
            <w:vAlign w:val="bottom"/>
          </w:tcPr>
          <w:p w14:paraId="03029F8A" w14:textId="77777777" w:rsidR="005C702F" w:rsidRDefault="005C702F" w:rsidP="007E4395">
            <w:pPr>
              <w:jc w:val="both"/>
              <w:rPr>
                <w:rFonts w:ascii="Calibri" w:hAnsi="Calibri" w:cs="Calibri"/>
                <w:color w:val="000000"/>
              </w:rPr>
            </w:pPr>
            <w:r>
              <w:rPr>
                <w:rFonts w:ascii="Calibri" w:hAnsi="Calibri" w:cs="Calibri"/>
                <w:color w:val="000000"/>
              </w:rPr>
              <w:t>90-93</w:t>
            </w:r>
          </w:p>
        </w:tc>
        <w:tc>
          <w:tcPr>
            <w:tcW w:w="1030" w:type="dxa"/>
            <w:vAlign w:val="bottom"/>
          </w:tcPr>
          <w:p w14:paraId="16AF14E0" w14:textId="5FB65ADE" w:rsidR="005C702F" w:rsidRDefault="005C702F" w:rsidP="007E4395">
            <w:pPr>
              <w:jc w:val="both"/>
              <w:rPr>
                <w:rFonts w:ascii="Calibri" w:hAnsi="Calibri" w:cs="Calibri"/>
                <w:color w:val="000000"/>
              </w:rPr>
            </w:pPr>
            <w:r>
              <w:rPr>
                <w:rFonts w:ascii="Calibri" w:hAnsi="Calibri" w:cs="Calibri"/>
                <w:color w:val="000000"/>
              </w:rPr>
              <w:t>18,9</w:t>
            </w:r>
          </w:p>
        </w:tc>
        <w:tc>
          <w:tcPr>
            <w:tcW w:w="1053" w:type="dxa"/>
            <w:vAlign w:val="bottom"/>
          </w:tcPr>
          <w:p w14:paraId="55C0A181" w14:textId="72789338" w:rsidR="005C702F" w:rsidRDefault="005C702F" w:rsidP="007E4395">
            <w:pPr>
              <w:jc w:val="both"/>
              <w:rPr>
                <w:rFonts w:ascii="Calibri" w:hAnsi="Calibri" w:cs="Calibri"/>
                <w:color w:val="000000"/>
              </w:rPr>
            </w:pPr>
            <w:r>
              <w:rPr>
                <w:rFonts w:ascii="Calibri" w:hAnsi="Calibri" w:cs="Calibri"/>
                <w:color w:val="000000"/>
              </w:rPr>
              <w:t>17</w:t>
            </w:r>
          </w:p>
        </w:tc>
        <w:tc>
          <w:tcPr>
            <w:tcW w:w="1344" w:type="dxa"/>
            <w:vAlign w:val="bottom"/>
          </w:tcPr>
          <w:p w14:paraId="5A00B152" w14:textId="6A666C9F" w:rsidR="005C702F" w:rsidRDefault="005C702F" w:rsidP="007E4395">
            <w:pPr>
              <w:jc w:val="both"/>
              <w:rPr>
                <w:rFonts w:ascii="Calibri" w:hAnsi="Calibri" w:cs="Calibri"/>
                <w:color w:val="000000"/>
              </w:rPr>
            </w:pPr>
            <w:r>
              <w:rPr>
                <w:rFonts w:ascii="Calibri" w:hAnsi="Calibri" w:cs="Calibri"/>
                <w:color w:val="000000"/>
              </w:rPr>
              <w:t>38</w:t>
            </w:r>
          </w:p>
        </w:tc>
        <w:tc>
          <w:tcPr>
            <w:tcW w:w="1134" w:type="dxa"/>
            <w:vAlign w:val="bottom"/>
          </w:tcPr>
          <w:p w14:paraId="679F805C" w14:textId="2767F24E" w:rsidR="005C702F" w:rsidRDefault="005C702F" w:rsidP="007E4395">
            <w:pPr>
              <w:jc w:val="both"/>
              <w:rPr>
                <w:rFonts w:ascii="Calibri" w:hAnsi="Calibri" w:cs="Calibri"/>
                <w:color w:val="000000"/>
              </w:rPr>
            </w:pPr>
            <w:r>
              <w:rPr>
                <w:rFonts w:ascii="Calibri" w:hAnsi="Calibri" w:cs="Calibri"/>
                <w:color w:val="000000"/>
              </w:rPr>
              <w:t>271</w:t>
            </w:r>
          </w:p>
        </w:tc>
        <w:tc>
          <w:tcPr>
            <w:tcW w:w="851" w:type="dxa"/>
            <w:vAlign w:val="bottom"/>
          </w:tcPr>
          <w:p w14:paraId="6D0C4700" w14:textId="49021040" w:rsidR="005C702F" w:rsidRDefault="005C702F" w:rsidP="007E4395">
            <w:pPr>
              <w:jc w:val="both"/>
              <w:rPr>
                <w:rFonts w:ascii="Calibri" w:hAnsi="Calibri" w:cs="Calibri"/>
                <w:color w:val="000000"/>
              </w:rPr>
            </w:pPr>
            <w:r>
              <w:rPr>
                <w:rFonts w:ascii="Calibri" w:hAnsi="Calibri" w:cs="Calibri"/>
                <w:color w:val="000000"/>
              </w:rPr>
              <w:t>0,2</w:t>
            </w:r>
          </w:p>
        </w:tc>
        <w:tc>
          <w:tcPr>
            <w:tcW w:w="1134" w:type="dxa"/>
            <w:vAlign w:val="bottom"/>
          </w:tcPr>
          <w:p w14:paraId="0B0CB554" w14:textId="4FB625DA" w:rsidR="005C702F" w:rsidRDefault="005C702F" w:rsidP="007E4395">
            <w:pPr>
              <w:jc w:val="both"/>
              <w:rPr>
                <w:rFonts w:ascii="Calibri" w:hAnsi="Calibri" w:cs="Calibri"/>
                <w:color w:val="000000"/>
              </w:rPr>
            </w:pPr>
            <w:r>
              <w:rPr>
                <w:rFonts w:ascii="Calibri" w:hAnsi="Calibri" w:cs="Calibri"/>
                <w:color w:val="000000"/>
              </w:rPr>
              <w:t>1129</w:t>
            </w:r>
          </w:p>
        </w:tc>
      </w:tr>
      <w:tr w:rsidR="005C702F" w14:paraId="35E5D122" w14:textId="77777777" w:rsidTr="005C702F">
        <w:tc>
          <w:tcPr>
            <w:tcW w:w="1944" w:type="dxa"/>
            <w:vAlign w:val="bottom"/>
          </w:tcPr>
          <w:p w14:paraId="4C639480" w14:textId="77777777" w:rsidR="005C702F" w:rsidRDefault="005C702F" w:rsidP="007E4395">
            <w:pPr>
              <w:jc w:val="both"/>
              <w:rPr>
                <w:rFonts w:ascii="Calibri" w:hAnsi="Calibri" w:cs="Calibri"/>
                <w:color w:val="000000"/>
              </w:rPr>
            </w:pPr>
            <w:r>
              <w:rPr>
                <w:rFonts w:ascii="Calibri" w:hAnsi="Calibri" w:cs="Calibri"/>
                <w:color w:val="000000"/>
              </w:rPr>
              <w:t>Muud tegevusalad</w:t>
            </w:r>
          </w:p>
        </w:tc>
        <w:tc>
          <w:tcPr>
            <w:tcW w:w="861" w:type="dxa"/>
            <w:vAlign w:val="bottom"/>
          </w:tcPr>
          <w:p w14:paraId="2344C24D" w14:textId="77777777" w:rsidR="005C702F" w:rsidRDefault="005C702F" w:rsidP="007E4395">
            <w:pPr>
              <w:jc w:val="both"/>
              <w:rPr>
                <w:rFonts w:ascii="Calibri" w:hAnsi="Calibri" w:cs="Calibri"/>
                <w:color w:val="000000"/>
              </w:rPr>
            </w:pPr>
            <w:r>
              <w:rPr>
                <w:rFonts w:ascii="Calibri" w:hAnsi="Calibri" w:cs="Calibri"/>
                <w:color w:val="000000"/>
              </w:rPr>
              <w:t>94-99</w:t>
            </w:r>
          </w:p>
        </w:tc>
        <w:tc>
          <w:tcPr>
            <w:tcW w:w="1030" w:type="dxa"/>
            <w:vAlign w:val="bottom"/>
          </w:tcPr>
          <w:p w14:paraId="1FDED413" w14:textId="42883F56" w:rsidR="005C702F" w:rsidRDefault="005C702F" w:rsidP="007E4395">
            <w:pPr>
              <w:jc w:val="both"/>
              <w:rPr>
                <w:rFonts w:ascii="Calibri" w:hAnsi="Calibri" w:cs="Calibri"/>
                <w:color w:val="000000"/>
              </w:rPr>
            </w:pPr>
            <w:r>
              <w:rPr>
                <w:rFonts w:ascii="Calibri" w:hAnsi="Calibri" w:cs="Calibri"/>
                <w:color w:val="000000"/>
              </w:rPr>
              <w:t>15,4</w:t>
            </w:r>
          </w:p>
        </w:tc>
        <w:tc>
          <w:tcPr>
            <w:tcW w:w="1053" w:type="dxa"/>
            <w:vAlign w:val="bottom"/>
          </w:tcPr>
          <w:p w14:paraId="427A970C" w14:textId="31B7E29C" w:rsidR="005C702F" w:rsidRDefault="005C702F" w:rsidP="007E4395">
            <w:pPr>
              <w:jc w:val="both"/>
              <w:rPr>
                <w:rFonts w:ascii="Calibri" w:hAnsi="Calibri" w:cs="Calibri"/>
                <w:color w:val="000000"/>
              </w:rPr>
            </w:pPr>
            <w:r>
              <w:rPr>
                <w:rFonts w:ascii="Calibri" w:hAnsi="Calibri" w:cs="Calibri"/>
                <w:color w:val="000000"/>
              </w:rPr>
              <w:t>-7</w:t>
            </w:r>
          </w:p>
        </w:tc>
        <w:tc>
          <w:tcPr>
            <w:tcW w:w="1344" w:type="dxa"/>
            <w:vAlign w:val="bottom"/>
          </w:tcPr>
          <w:p w14:paraId="74017F66" w14:textId="5295C178" w:rsidR="005C702F" w:rsidRDefault="005C702F" w:rsidP="007E4395">
            <w:pPr>
              <w:jc w:val="both"/>
              <w:rPr>
                <w:rFonts w:ascii="Calibri" w:hAnsi="Calibri" w:cs="Calibri"/>
                <w:color w:val="000000"/>
              </w:rPr>
            </w:pPr>
            <w:r>
              <w:rPr>
                <w:rFonts w:ascii="Calibri" w:hAnsi="Calibri" w:cs="Calibri"/>
                <w:color w:val="000000"/>
              </w:rPr>
              <w:t>428</w:t>
            </w:r>
          </w:p>
        </w:tc>
        <w:tc>
          <w:tcPr>
            <w:tcW w:w="1134" w:type="dxa"/>
            <w:vAlign w:val="bottom"/>
          </w:tcPr>
          <w:p w14:paraId="7881564D" w14:textId="6FEC1364" w:rsidR="005C702F" w:rsidRDefault="005C702F" w:rsidP="007E4395">
            <w:pPr>
              <w:jc w:val="both"/>
              <w:rPr>
                <w:rFonts w:ascii="Calibri" w:hAnsi="Calibri" w:cs="Calibri"/>
                <w:color w:val="000000"/>
              </w:rPr>
            </w:pPr>
            <w:r>
              <w:rPr>
                <w:rFonts w:ascii="Calibri" w:hAnsi="Calibri" w:cs="Calibri"/>
                <w:color w:val="000000"/>
              </w:rPr>
              <w:t>2021</w:t>
            </w:r>
          </w:p>
        </w:tc>
        <w:tc>
          <w:tcPr>
            <w:tcW w:w="851" w:type="dxa"/>
            <w:vAlign w:val="bottom"/>
          </w:tcPr>
          <w:p w14:paraId="14D8B7B2" w14:textId="0D3E3A1F" w:rsidR="005C702F" w:rsidRDefault="005C702F" w:rsidP="007E4395">
            <w:pPr>
              <w:jc w:val="both"/>
              <w:rPr>
                <w:rFonts w:ascii="Calibri" w:hAnsi="Calibri" w:cs="Calibri"/>
                <w:color w:val="000000"/>
              </w:rPr>
            </w:pPr>
            <w:r>
              <w:rPr>
                <w:rFonts w:ascii="Calibri" w:hAnsi="Calibri" w:cs="Calibri"/>
                <w:color w:val="000000"/>
              </w:rPr>
              <w:t>0,7</w:t>
            </w:r>
          </w:p>
        </w:tc>
        <w:tc>
          <w:tcPr>
            <w:tcW w:w="1134" w:type="dxa"/>
            <w:vAlign w:val="bottom"/>
          </w:tcPr>
          <w:p w14:paraId="590BD48B" w14:textId="65D4D282" w:rsidR="005C702F" w:rsidRDefault="005C702F" w:rsidP="007E4395">
            <w:pPr>
              <w:jc w:val="both"/>
              <w:rPr>
                <w:rFonts w:ascii="Calibri" w:hAnsi="Calibri" w:cs="Calibri"/>
                <w:color w:val="000000"/>
              </w:rPr>
            </w:pPr>
            <w:r>
              <w:rPr>
                <w:rFonts w:ascii="Calibri" w:hAnsi="Calibri" w:cs="Calibri"/>
                <w:color w:val="000000"/>
              </w:rPr>
              <w:t>1133</w:t>
            </w:r>
          </w:p>
        </w:tc>
      </w:tr>
      <w:tr w:rsidR="005C702F" w14:paraId="761F0657" w14:textId="77777777" w:rsidTr="005C702F">
        <w:tc>
          <w:tcPr>
            <w:tcW w:w="1944" w:type="dxa"/>
            <w:vAlign w:val="bottom"/>
          </w:tcPr>
          <w:p w14:paraId="4C94C9C3" w14:textId="77777777" w:rsidR="005C702F" w:rsidRDefault="005C702F" w:rsidP="007E4395">
            <w:pPr>
              <w:jc w:val="both"/>
              <w:rPr>
                <w:rFonts w:ascii="Calibri" w:hAnsi="Calibri" w:cs="Calibri"/>
                <w:color w:val="000000"/>
              </w:rPr>
            </w:pPr>
            <w:r>
              <w:rPr>
                <w:rFonts w:ascii="Calibri" w:hAnsi="Calibri" w:cs="Calibri"/>
                <w:color w:val="000000"/>
              </w:rPr>
              <w:t>Puudu/Märkimata</w:t>
            </w:r>
          </w:p>
        </w:tc>
        <w:tc>
          <w:tcPr>
            <w:tcW w:w="861" w:type="dxa"/>
          </w:tcPr>
          <w:p w14:paraId="030D1177" w14:textId="77777777" w:rsidR="005C702F" w:rsidRDefault="005C702F" w:rsidP="007E4395">
            <w:pPr>
              <w:jc w:val="both"/>
            </w:pPr>
          </w:p>
        </w:tc>
        <w:tc>
          <w:tcPr>
            <w:tcW w:w="1030" w:type="dxa"/>
            <w:vAlign w:val="bottom"/>
          </w:tcPr>
          <w:p w14:paraId="2763AA9E" w14:textId="77777777" w:rsidR="005C702F" w:rsidRPr="005A4DE6" w:rsidRDefault="005C702F" w:rsidP="007E4395">
            <w:pPr>
              <w:jc w:val="both"/>
              <w:rPr>
                <w:rFonts w:ascii="Calibri" w:hAnsi="Calibri" w:cs="Calibri"/>
                <w:color w:val="000000"/>
              </w:rPr>
            </w:pPr>
          </w:p>
        </w:tc>
        <w:tc>
          <w:tcPr>
            <w:tcW w:w="1053" w:type="dxa"/>
            <w:vAlign w:val="bottom"/>
          </w:tcPr>
          <w:p w14:paraId="35954592" w14:textId="77777777" w:rsidR="005C702F" w:rsidRDefault="005C702F" w:rsidP="007E4395">
            <w:pPr>
              <w:jc w:val="both"/>
            </w:pPr>
          </w:p>
        </w:tc>
        <w:tc>
          <w:tcPr>
            <w:tcW w:w="1344" w:type="dxa"/>
            <w:vAlign w:val="bottom"/>
          </w:tcPr>
          <w:p w14:paraId="3A9AB82C" w14:textId="6E5E6078" w:rsidR="005C702F" w:rsidRDefault="005C702F" w:rsidP="007E4395">
            <w:pPr>
              <w:jc w:val="both"/>
              <w:rPr>
                <w:rFonts w:ascii="Calibri" w:hAnsi="Calibri" w:cs="Calibri"/>
                <w:color w:val="000000"/>
              </w:rPr>
            </w:pPr>
            <w:r>
              <w:rPr>
                <w:rFonts w:ascii="Calibri" w:hAnsi="Calibri" w:cs="Calibri"/>
                <w:color w:val="000000"/>
              </w:rPr>
              <w:t>268</w:t>
            </w:r>
          </w:p>
        </w:tc>
        <w:tc>
          <w:tcPr>
            <w:tcW w:w="1134" w:type="dxa"/>
            <w:vAlign w:val="bottom"/>
          </w:tcPr>
          <w:p w14:paraId="5C984A6C" w14:textId="7F8EC222" w:rsidR="005C702F" w:rsidRDefault="005C702F" w:rsidP="007E4395">
            <w:pPr>
              <w:jc w:val="both"/>
              <w:rPr>
                <w:rFonts w:ascii="Calibri" w:hAnsi="Calibri" w:cs="Calibri"/>
                <w:color w:val="000000"/>
              </w:rPr>
            </w:pPr>
            <w:r>
              <w:rPr>
                <w:rFonts w:ascii="Calibri" w:hAnsi="Calibri" w:cs="Calibri"/>
                <w:color w:val="000000"/>
              </w:rPr>
              <w:t>14</w:t>
            </w:r>
          </w:p>
        </w:tc>
        <w:tc>
          <w:tcPr>
            <w:tcW w:w="851" w:type="dxa"/>
            <w:vAlign w:val="bottom"/>
          </w:tcPr>
          <w:p w14:paraId="596BF44A" w14:textId="77777777" w:rsidR="005C702F" w:rsidRDefault="005C702F" w:rsidP="007E4395">
            <w:pPr>
              <w:jc w:val="both"/>
              <w:rPr>
                <w:rFonts w:ascii="Calibri" w:hAnsi="Calibri" w:cs="Calibri"/>
                <w:color w:val="000000"/>
              </w:rPr>
            </w:pPr>
          </w:p>
        </w:tc>
        <w:tc>
          <w:tcPr>
            <w:tcW w:w="1134" w:type="dxa"/>
            <w:vAlign w:val="bottom"/>
          </w:tcPr>
          <w:p w14:paraId="1D8799AB" w14:textId="77777777" w:rsidR="005C702F" w:rsidRDefault="005C702F" w:rsidP="007E4395">
            <w:pPr>
              <w:jc w:val="both"/>
              <w:rPr>
                <w:rFonts w:ascii="Calibri" w:hAnsi="Calibri" w:cs="Calibri"/>
                <w:color w:val="000000"/>
              </w:rPr>
            </w:pPr>
          </w:p>
        </w:tc>
      </w:tr>
      <w:tr w:rsidR="005C702F" w14:paraId="35F4AB43" w14:textId="77777777" w:rsidTr="005C702F">
        <w:tc>
          <w:tcPr>
            <w:tcW w:w="1944" w:type="dxa"/>
            <w:vAlign w:val="bottom"/>
          </w:tcPr>
          <w:p w14:paraId="1F4333EA" w14:textId="77777777" w:rsidR="005C702F" w:rsidRDefault="005C702F" w:rsidP="007E4395">
            <w:pPr>
              <w:jc w:val="both"/>
              <w:rPr>
                <w:rFonts w:ascii="Calibri" w:hAnsi="Calibri" w:cs="Calibri"/>
                <w:color w:val="000000"/>
              </w:rPr>
            </w:pPr>
            <w:r>
              <w:rPr>
                <w:rFonts w:ascii="Calibri" w:hAnsi="Calibri" w:cs="Calibri"/>
                <w:color w:val="000000"/>
              </w:rPr>
              <w:t>Tegevusalad kokku</w:t>
            </w:r>
          </w:p>
        </w:tc>
        <w:tc>
          <w:tcPr>
            <w:tcW w:w="861" w:type="dxa"/>
          </w:tcPr>
          <w:p w14:paraId="702B58AB" w14:textId="77777777" w:rsidR="005C702F" w:rsidRDefault="005C702F" w:rsidP="007E4395">
            <w:pPr>
              <w:jc w:val="both"/>
            </w:pPr>
          </w:p>
        </w:tc>
        <w:tc>
          <w:tcPr>
            <w:tcW w:w="1030" w:type="dxa"/>
            <w:vAlign w:val="bottom"/>
          </w:tcPr>
          <w:p w14:paraId="49F58EF5" w14:textId="1B9204AE" w:rsidR="005C702F" w:rsidRPr="005A4DE6" w:rsidRDefault="005C702F" w:rsidP="007E4395">
            <w:pPr>
              <w:jc w:val="both"/>
              <w:rPr>
                <w:rFonts w:ascii="Calibri" w:hAnsi="Calibri" w:cs="Calibri"/>
                <w:color w:val="000000"/>
              </w:rPr>
            </w:pPr>
            <w:r>
              <w:rPr>
                <w:rFonts w:ascii="Calibri" w:hAnsi="Calibri" w:cs="Calibri"/>
                <w:color w:val="000000"/>
              </w:rPr>
              <w:t>664,9</w:t>
            </w:r>
          </w:p>
        </w:tc>
        <w:tc>
          <w:tcPr>
            <w:tcW w:w="1053" w:type="dxa"/>
            <w:vAlign w:val="bottom"/>
          </w:tcPr>
          <w:p w14:paraId="6C7A2A23" w14:textId="3EB03353" w:rsidR="005C702F" w:rsidRDefault="005C702F" w:rsidP="007E4395">
            <w:pPr>
              <w:jc w:val="both"/>
            </w:pPr>
            <w:r>
              <w:rPr>
                <w:rFonts w:ascii="Calibri" w:hAnsi="Calibri" w:cs="Calibri"/>
                <w:color w:val="000000"/>
              </w:rPr>
              <w:t>2024</w:t>
            </w:r>
          </w:p>
        </w:tc>
        <w:tc>
          <w:tcPr>
            <w:tcW w:w="1344" w:type="dxa"/>
            <w:vAlign w:val="bottom"/>
          </w:tcPr>
          <w:p w14:paraId="25AF7874" w14:textId="680E6081" w:rsidR="005C702F" w:rsidRDefault="005C702F" w:rsidP="007E4395">
            <w:pPr>
              <w:jc w:val="both"/>
              <w:rPr>
                <w:rFonts w:ascii="Calibri" w:hAnsi="Calibri" w:cs="Calibri"/>
                <w:color w:val="000000"/>
              </w:rPr>
            </w:pPr>
            <w:r>
              <w:rPr>
                <w:rFonts w:ascii="Calibri" w:hAnsi="Calibri" w:cs="Calibri"/>
                <w:color w:val="000000"/>
              </w:rPr>
              <w:t>3041</w:t>
            </w:r>
          </w:p>
        </w:tc>
        <w:tc>
          <w:tcPr>
            <w:tcW w:w="1134" w:type="dxa"/>
            <w:vAlign w:val="bottom"/>
          </w:tcPr>
          <w:p w14:paraId="57ACB7CE" w14:textId="2FD55E89" w:rsidR="005C702F" w:rsidRDefault="005C702F" w:rsidP="007E4395">
            <w:pPr>
              <w:jc w:val="both"/>
              <w:rPr>
                <w:rFonts w:ascii="Calibri" w:hAnsi="Calibri" w:cs="Calibri"/>
                <w:color w:val="000000"/>
              </w:rPr>
            </w:pPr>
            <w:r>
              <w:rPr>
                <w:rFonts w:ascii="Calibri" w:hAnsi="Calibri" w:cs="Calibri"/>
                <w:color w:val="000000"/>
              </w:rPr>
              <w:t>27131</w:t>
            </w:r>
          </w:p>
        </w:tc>
        <w:tc>
          <w:tcPr>
            <w:tcW w:w="851" w:type="dxa"/>
            <w:vAlign w:val="bottom"/>
          </w:tcPr>
          <w:p w14:paraId="1814467C" w14:textId="1F36B1B7" w:rsidR="005C702F" w:rsidRDefault="005C702F" w:rsidP="007E4395">
            <w:pPr>
              <w:jc w:val="both"/>
              <w:rPr>
                <w:rFonts w:ascii="Calibri" w:hAnsi="Calibri" w:cs="Calibri"/>
                <w:color w:val="000000"/>
              </w:rPr>
            </w:pPr>
            <w:r>
              <w:rPr>
                <w:rFonts w:ascii="Calibri" w:hAnsi="Calibri" w:cs="Calibri"/>
                <w:color w:val="000000"/>
              </w:rPr>
              <w:t>17,3</w:t>
            </w:r>
          </w:p>
        </w:tc>
        <w:tc>
          <w:tcPr>
            <w:tcW w:w="1134" w:type="dxa"/>
            <w:vAlign w:val="bottom"/>
          </w:tcPr>
          <w:p w14:paraId="5CE0C50F" w14:textId="08F2E2C6" w:rsidR="005C702F" w:rsidRDefault="005C702F" w:rsidP="007E4395">
            <w:pPr>
              <w:jc w:val="both"/>
              <w:rPr>
                <w:rFonts w:ascii="Calibri" w:hAnsi="Calibri" w:cs="Calibri"/>
                <w:color w:val="000000"/>
              </w:rPr>
            </w:pPr>
            <w:r>
              <w:rPr>
                <w:rFonts w:ascii="Calibri" w:hAnsi="Calibri" w:cs="Calibri"/>
                <w:color w:val="000000"/>
              </w:rPr>
              <w:t>1448</w:t>
            </w:r>
          </w:p>
        </w:tc>
      </w:tr>
    </w:tbl>
    <w:p w14:paraId="01D5EC34" w14:textId="0F8DB79A" w:rsidR="005A5490" w:rsidRDefault="00F36D3F" w:rsidP="007E4395">
      <w:pPr>
        <w:jc w:val="both"/>
      </w:pPr>
      <w:r>
        <w:t>Allikad: Statistikaamet, MKM, OSKA, Politsei- ja Piirivalveamet</w:t>
      </w:r>
    </w:p>
    <w:sectPr w:rsidR="005A549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466C" w14:textId="77777777" w:rsidR="001556BB" w:rsidRDefault="001556BB" w:rsidP="002E7EBB">
      <w:pPr>
        <w:spacing w:after="0" w:line="240" w:lineRule="auto"/>
      </w:pPr>
      <w:r>
        <w:separator/>
      </w:r>
    </w:p>
  </w:endnote>
  <w:endnote w:type="continuationSeparator" w:id="0">
    <w:p w14:paraId="7B54F832" w14:textId="77777777" w:rsidR="001556BB" w:rsidRDefault="001556BB" w:rsidP="002E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821708"/>
      <w:docPartObj>
        <w:docPartGallery w:val="Page Numbers (Bottom of Page)"/>
        <w:docPartUnique/>
      </w:docPartObj>
    </w:sdtPr>
    <w:sdtEndPr/>
    <w:sdtContent>
      <w:p w14:paraId="6CC9EB1A" w14:textId="40643343" w:rsidR="00666CBF" w:rsidRDefault="00666CBF">
        <w:pPr>
          <w:pStyle w:val="Jalus"/>
          <w:jc w:val="center"/>
        </w:pPr>
        <w:r>
          <w:fldChar w:fldCharType="begin"/>
        </w:r>
        <w:r>
          <w:instrText>PAGE   \* MERGEFORMAT</w:instrText>
        </w:r>
        <w:r>
          <w:fldChar w:fldCharType="separate"/>
        </w:r>
        <w:r>
          <w:t>2</w:t>
        </w:r>
        <w:r>
          <w:fldChar w:fldCharType="end"/>
        </w:r>
      </w:p>
    </w:sdtContent>
  </w:sdt>
  <w:p w14:paraId="78F8DC23" w14:textId="77777777" w:rsidR="00666CBF" w:rsidRDefault="00666CB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B76A" w14:textId="77777777" w:rsidR="001556BB" w:rsidRDefault="001556BB" w:rsidP="002E7EBB">
      <w:pPr>
        <w:spacing w:after="0" w:line="240" w:lineRule="auto"/>
      </w:pPr>
      <w:r>
        <w:separator/>
      </w:r>
    </w:p>
  </w:footnote>
  <w:footnote w:type="continuationSeparator" w:id="0">
    <w:p w14:paraId="3292D741" w14:textId="77777777" w:rsidR="001556BB" w:rsidRDefault="001556BB" w:rsidP="002E7EBB">
      <w:pPr>
        <w:spacing w:after="0" w:line="240" w:lineRule="auto"/>
      </w:pPr>
      <w:r>
        <w:continuationSeparator/>
      </w:r>
    </w:p>
  </w:footnote>
  <w:footnote w:id="1">
    <w:p w14:paraId="13F1DEB7" w14:textId="17FDD6F0" w:rsidR="00544296" w:rsidRDefault="00544296">
      <w:pPr>
        <w:pStyle w:val="Allmrkusetekst"/>
      </w:pPr>
      <w:r>
        <w:rPr>
          <w:rStyle w:val="Allmrkuseviide"/>
        </w:rPr>
        <w:footnoteRef/>
      </w:r>
      <w:r>
        <w:t xml:space="preserve"> </w:t>
      </w:r>
      <w:r w:rsidRPr="00544296">
        <w:t xml:space="preserve">Sisserände töörühma alatöörühm </w:t>
      </w:r>
      <w:r>
        <w:t>–</w:t>
      </w:r>
      <w:r w:rsidRPr="00544296">
        <w:t xml:space="preserve"> Milliste oskuste ja kvalifikatsiooniga </w:t>
      </w:r>
      <w:proofErr w:type="spellStart"/>
      <w:r w:rsidRPr="00544296">
        <w:t>võõrtööjõudu</w:t>
      </w:r>
      <w:proofErr w:type="spellEnd"/>
      <w:r w:rsidRPr="00544296">
        <w:t xml:space="preserve"> Eesti vajab?</w:t>
      </w:r>
      <w:r>
        <w:t xml:space="preserve"> Esimene versioon saadetud tutvumiseks ja arvamuse avaldamiseks 21.12.2018.</w:t>
      </w:r>
    </w:p>
  </w:footnote>
  <w:footnote w:id="2">
    <w:p w14:paraId="6769FE43" w14:textId="16B566C3" w:rsidR="002E7EBB" w:rsidRDefault="002E7EBB" w:rsidP="002E7EBB">
      <w:pPr>
        <w:pStyle w:val="Allmrkusetekst"/>
      </w:pPr>
      <w:r>
        <w:rPr>
          <w:rStyle w:val="Allmrkuseviide"/>
        </w:rPr>
        <w:footnoteRef/>
      </w:r>
      <w:r>
        <w:t xml:space="preserve"> Tööjõuvajaduse ja -pakkumise prognoos aastani 2028. Majandus- ja Kommunikatsiooniministeerium 2020. </w:t>
      </w:r>
      <w:hyperlink r:id="rId1" w:anchor="toojouprognoosid" w:history="1">
        <w:r w:rsidRPr="004266B1">
          <w:rPr>
            <w:rStyle w:val="Hperlink"/>
          </w:rPr>
          <w:t>https://www.mkm.ee/et/analuusid-ja-uuringud#toojouprognoosid</w:t>
        </w:r>
      </w:hyperlink>
      <w:r>
        <w:t xml:space="preserve"> </w:t>
      </w:r>
    </w:p>
  </w:footnote>
  <w:footnote w:id="3">
    <w:p w14:paraId="3B692D21" w14:textId="27A7D928" w:rsidR="002C2C6B" w:rsidRDefault="002C2C6B" w:rsidP="002C2C6B">
      <w:pPr>
        <w:pStyle w:val="Allmrkusetekst"/>
      </w:pPr>
      <w:r>
        <w:rPr>
          <w:rStyle w:val="Allmrkuseviide"/>
        </w:rPr>
        <w:footnoteRef/>
      </w:r>
      <w:r>
        <w:t xml:space="preserve"> Aastaid kestnud IKT-alaste pädevustega töötajate puudujäägile viidati juba aastal 2013 - Jürgenson, A., Mägi, E., </w:t>
      </w:r>
      <w:proofErr w:type="spellStart"/>
      <w:r>
        <w:t>Pihor</w:t>
      </w:r>
      <w:proofErr w:type="spellEnd"/>
      <w:r>
        <w:t xml:space="preserve">, K., </w:t>
      </w:r>
      <w:proofErr w:type="spellStart"/>
      <w:r>
        <w:t>Batueva</w:t>
      </w:r>
      <w:proofErr w:type="spellEnd"/>
      <w:r>
        <w:t xml:space="preserve">, V., </w:t>
      </w:r>
      <w:proofErr w:type="spellStart"/>
      <w:r>
        <w:t>Rozeik</w:t>
      </w:r>
      <w:proofErr w:type="spellEnd"/>
      <w:r>
        <w:t>, H., Arukaevu, R. (2013). Eesti IKT kompetentsidega tööjõu hetkeseisu ja vajaduse kaardistamine. Tallinn:</w:t>
      </w:r>
      <w:r w:rsidR="00CC3684">
        <w:t xml:space="preserve"> </w:t>
      </w:r>
      <w:r>
        <w:t xml:space="preserve">Poliitikauuringute Keskus </w:t>
      </w:r>
      <w:proofErr w:type="spellStart"/>
      <w:r>
        <w:t>Praxis</w:t>
      </w:r>
      <w:proofErr w:type="spellEnd"/>
      <w:r w:rsidR="00CC3684">
        <w:t xml:space="preserve">, lk 11. </w:t>
      </w:r>
      <w:hyperlink r:id="rId2" w:history="1">
        <w:r w:rsidR="00CC3684" w:rsidRPr="001861D2">
          <w:rPr>
            <w:rStyle w:val="Hperlink"/>
          </w:rPr>
          <w:t>http://www.praxis.ee/fileadmin/tarmo/Projektid/Innovatsiooni_poliitika/IKTtoo/Uuringu_lopparuanne.pdf</w:t>
        </w:r>
      </w:hyperlink>
      <w:r w:rsidR="00CC3684">
        <w:t xml:space="preserve"> </w:t>
      </w:r>
    </w:p>
  </w:footnote>
  <w:footnote w:id="4">
    <w:p w14:paraId="40B96389" w14:textId="11FF202C" w:rsidR="007026A6" w:rsidRDefault="007026A6">
      <w:pPr>
        <w:pStyle w:val="Allmrkusetekst"/>
      </w:pPr>
      <w:r>
        <w:rPr>
          <w:rStyle w:val="Allmrkuseviide"/>
        </w:rPr>
        <w:footnoteRef/>
      </w:r>
      <w:r>
        <w:t xml:space="preserve"> Näiteks vanusegrupis 15-74 oli töötuid aastal 2000 100 000, </w:t>
      </w:r>
      <w:r w:rsidR="005E3DDF">
        <w:t>2010: 113 900</w:t>
      </w:r>
      <w:r>
        <w:t xml:space="preserve">, 2020: 47 000; </w:t>
      </w:r>
      <w:r w:rsidR="005E3DDF">
        <w:t xml:space="preserve">heitunuid (kaotanud lootuse leida töö ja seetõttu mitteaktiivsed) 21 100 (2000) </w:t>
      </w:r>
      <w:r w:rsidR="005E3DDF">
        <w:rPr>
          <w:rFonts w:cstheme="minorHAnsi"/>
        </w:rPr>
        <w:t xml:space="preserve">→ </w:t>
      </w:r>
      <w:r w:rsidR="005E3DDF">
        <w:t>8600 (2010)</w:t>
      </w:r>
      <w:r w:rsidR="005E3DDF" w:rsidRPr="005E3DDF">
        <w:rPr>
          <w:rFonts w:cstheme="minorHAnsi"/>
        </w:rPr>
        <w:t xml:space="preserve"> </w:t>
      </w:r>
      <w:r w:rsidR="005E3DDF">
        <w:rPr>
          <w:rFonts w:cstheme="minorHAnsi"/>
        </w:rPr>
        <w:t>→ 4500 (2020). Noori vanuses 15-19: 102 020 (2000) → 76 465 (2010) → 63 613 (2020). Allikas: Statistikaamet.</w:t>
      </w:r>
    </w:p>
  </w:footnote>
  <w:footnote w:id="5">
    <w:p w14:paraId="0FBDEB58" w14:textId="000B3277" w:rsidR="005F0CA0" w:rsidRDefault="005F0CA0" w:rsidP="005F0CA0">
      <w:pPr>
        <w:pStyle w:val="Allmrkusetekst"/>
      </w:pPr>
      <w:r>
        <w:rPr>
          <w:rStyle w:val="Allmrkuseviide"/>
        </w:rPr>
        <w:footnoteRef/>
      </w:r>
      <w:r>
        <w:t xml:space="preserve"> Rändesõltuvus ja lõimumise väljakutsed Eesti riigile, tööandjatele, kogukondadele ja haridusele. Eesti Teadusagentuuri</w:t>
      </w:r>
      <w:r w:rsidR="00487324">
        <w:t xml:space="preserve"> rahastatud</w:t>
      </w:r>
      <w:r>
        <w:t xml:space="preserve"> RITA-RÄNNE projekt, 2021. </w:t>
      </w:r>
      <w:hyperlink r:id="rId3" w:history="1">
        <w:r w:rsidRPr="001861D2">
          <w:rPr>
            <w:rStyle w:val="Hperlink"/>
          </w:rPr>
          <w:t>https://www.etag.ee/wp-content/uploads/2021/03/L%C3%B5pparuanne.pdf</w:t>
        </w:r>
      </w:hyperlink>
    </w:p>
  </w:footnote>
  <w:footnote w:id="6">
    <w:p w14:paraId="499A113B" w14:textId="36B84C13" w:rsidR="00E04144" w:rsidRDefault="00E04144">
      <w:pPr>
        <w:pStyle w:val="Allmrkusetekst"/>
      </w:pPr>
      <w:r>
        <w:rPr>
          <w:rStyle w:val="Allmrkuseviide"/>
        </w:rPr>
        <w:footnoteRef/>
      </w:r>
      <w:r>
        <w:t xml:space="preserve"> </w:t>
      </w:r>
      <w:hyperlink r:id="rId4" w:history="1">
        <w:r w:rsidRPr="00E117FC">
          <w:rPr>
            <w:rStyle w:val="Hperlink"/>
          </w:rPr>
          <w:t>https://www.tootukassa.ee/baromeeter</w:t>
        </w:r>
      </w:hyperlink>
    </w:p>
  </w:footnote>
  <w:footnote w:id="7">
    <w:p w14:paraId="15D69E3A" w14:textId="77777777" w:rsidR="007E4148" w:rsidRDefault="007E4148" w:rsidP="007E4148">
      <w:pPr>
        <w:pStyle w:val="Allmrkusetekst"/>
      </w:pPr>
      <w:r>
        <w:rPr>
          <w:rStyle w:val="Allmrkuseviide"/>
        </w:rPr>
        <w:footnoteRef/>
      </w:r>
      <w:r>
        <w:t xml:space="preserve"> </w:t>
      </w:r>
      <w:hyperlink r:id="rId5" w:history="1">
        <w:r w:rsidRPr="0027425A">
          <w:rPr>
            <w:rStyle w:val="Hperlink"/>
          </w:rPr>
          <w:t>http://oska.kutsekoda.ee/oska-valdkonnad/</w:t>
        </w:r>
      </w:hyperlink>
      <w:r>
        <w:t xml:space="preserve"> </w:t>
      </w:r>
    </w:p>
  </w:footnote>
  <w:footnote w:id="8">
    <w:p w14:paraId="47A5300C" w14:textId="562528B4" w:rsidR="00392B48" w:rsidRDefault="00392B48">
      <w:pPr>
        <w:pStyle w:val="Allmrkusetekst"/>
      </w:pPr>
      <w:r>
        <w:rPr>
          <w:rStyle w:val="Allmrkuseviide"/>
        </w:rPr>
        <w:footnoteRef/>
      </w:r>
      <w:r>
        <w:t xml:space="preserve"> Täpsemalt vt Kasvavad ja kahanevad põhikutsealad: Ekspertide hinnang nõudluse ja pakkumise tasakaalule. Turutõrkega põhikutsealad on tähistatud oranži värviga. </w:t>
      </w:r>
      <w:hyperlink r:id="rId6" w:history="1">
        <w:r w:rsidRPr="001861D2">
          <w:rPr>
            <w:rStyle w:val="Hperlink"/>
          </w:rPr>
          <w:t>https://oska.kutsekoda.ee/wp-content/uploads/2020/12/Kasvavad-ja-kahanevad-pohikutsealad-08.12.20.xlsx</w:t>
        </w:r>
      </w:hyperlink>
      <w:r>
        <w:t xml:space="preserve"> </w:t>
      </w:r>
    </w:p>
  </w:footnote>
  <w:footnote w:id="9">
    <w:p w14:paraId="580E5F65" w14:textId="4E4BA716" w:rsidR="006A5A41" w:rsidRDefault="006A5A41">
      <w:pPr>
        <w:pStyle w:val="Allmrkusetekst"/>
      </w:pPr>
      <w:r>
        <w:rPr>
          <w:rStyle w:val="Allmrkuseviide"/>
        </w:rPr>
        <w:footnoteRef/>
      </w:r>
      <w:r>
        <w:t xml:space="preserve"> Näiteks raske füüsiline töö, mittestandardne tööaeg, ootustest madalam töötasu, mittesobiv töö asukoht, tööjõu ebapiisav kvalifikatsioon. Ülevaadet suurematest ametialadest tegevusalade kaupa vt </w:t>
      </w:r>
      <w:r w:rsidRPr="006A5A41">
        <w:t>Eesti tööturg täna ja homme 2018</w:t>
      </w:r>
      <w:r>
        <w:t xml:space="preserve">. OSKA uuringuaruanne, Kutsekoda 2018, peatükk 5. </w:t>
      </w:r>
      <w:hyperlink r:id="rId7" w:history="1">
        <w:r w:rsidRPr="001861D2">
          <w:rPr>
            <w:rStyle w:val="Hperlink"/>
          </w:rPr>
          <w:t>https://oska.kutsekoda.ee/wp-content/uploads/2018/12/Eesti-t%C3%B6%C3%B6turg-t%C3%A4na-ja-homme-2018.pdf</w:t>
        </w:r>
      </w:hyperlink>
      <w:r>
        <w:t xml:space="preserve"> </w:t>
      </w:r>
    </w:p>
  </w:footnote>
  <w:footnote w:id="10">
    <w:p w14:paraId="05EE262A" w14:textId="77777777" w:rsidR="00E04144" w:rsidRDefault="00E04144" w:rsidP="00E04144">
      <w:pPr>
        <w:pStyle w:val="Allmrkusetekst"/>
      </w:pPr>
      <w:r>
        <w:rPr>
          <w:rStyle w:val="Allmrkuseviide"/>
        </w:rPr>
        <w:footnoteRef/>
      </w:r>
      <w:r>
        <w:t xml:space="preserve"> Arvuliselt suurima puudujäägiga on metallitööstus, puidutööstus ning elektroonika- ja elektriseadmete tootmine.</w:t>
      </w:r>
    </w:p>
  </w:footnote>
  <w:footnote w:id="11">
    <w:p w14:paraId="1C3AC0D3" w14:textId="77777777" w:rsidR="00E04144" w:rsidRDefault="00E04144" w:rsidP="00E04144">
      <w:pPr>
        <w:pStyle w:val="Allmrkusetekst"/>
      </w:pPr>
      <w:r>
        <w:rPr>
          <w:rStyle w:val="Allmrkuseviide"/>
        </w:rPr>
        <w:footnoteRef/>
      </w:r>
      <w:r>
        <w:t xml:space="preserve"> Elamislubade kohta on küll ka andmed ametialade lõikes, kuid need on esitatud vabatekstina, mistõttu ei olnud võimalik andmeid prognoosi tulemustega kõrvutada.</w:t>
      </w:r>
    </w:p>
  </w:footnote>
  <w:footnote w:id="12">
    <w:p w14:paraId="24E738C0" w14:textId="65231C1D" w:rsidR="00E942C6" w:rsidRDefault="00E942C6">
      <w:pPr>
        <w:pStyle w:val="Allmrkusetekst"/>
      </w:pPr>
      <w:r>
        <w:rPr>
          <w:rStyle w:val="Allmrkuseviide"/>
        </w:rPr>
        <w:footnoteRef/>
      </w:r>
      <w:r>
        <w:t xml:space="preserve"> Suuremad ametiala grupid, mis nimetuse järgi võivad kuuluda erinevatesse ametialadesse: muu spetsialist; talunik, sulane; tootmistööline.</w:t>
      </w:r>
    </w:p>
  </w:footnote>
  <w:footnote w:id="13">
    <w:p w14:paraId="02C6C417" w14:textId="2CFF7F3D" w:rsidR="003F4D40" w:rsidRDefault="003F4D40">
      <w:pPr>
        <w:pStyle w:val="Allmrkusetekst"/>
      </w:pPr>
      <w:r>
        <w:rPr>
          <w:rStyle w:val="Allmrkuseviide"/>
        </w:rPr>
        <w:footnoteRef/>
      </w:r>
      <w:r>
        <w:t xml:space="preserve"> Pärast 2019. aastat on tavapärase kaks korda aastas tehtud hinnangu asemel läbi viidud vaid üks hinnangu voor, oktoobris 2020. Kuna see jääb nö kriisiperioodi, siis pole antud hinnangut siinkohal kasutatud. Tööjõubaromeetri hinnangute skaala on laiem, mistõttu on tööjõupuuduse hinnangutega võrreldavuse tagamiseks korrigeeritud ka rangemat tööjõupuuduse kriteeriumi (20% </w:t>
      </w:r>
      <w:r>
        <w:rPr>
          <w:rFonts w:cstheme="minorHAnsi"/>
        </w:rPr>
        <w:t>→</w:t>
      </w:r>
      <w:r>
        <w:t xml:space="preserve"> 40%).</w:t>
      </w:r>
    </w:p>
  </w:footnote>
  <w:footnote w:id="14">
    <w:p w14:paraId="6D70438D" w14:textId="560D8BAA" w:rsidR="00F36D3F" w:rsidRDefault="00F36D3F" w:rsidP="00F36D3F">
      <w:pPr>
        <w:pStyle w:val="Allmrkusetekst"/>
      </w:pPr>
      <w:r>
        <w:rPr>
          <w:rStyle w:val="Allmrkuseviide"/>
        </w:rPr>
        <w:footnoteRef/>
      </w:r>
      <w:r>
        <w:t xml:space="preserve"> Tulemused ei lange alati kokku OSKA valdkondlike uuringute tulemustega. Ka olukorras, kus statistiliselt on piisavalt lõpetajaid, </w:t>
      </w:r>
      <w:r w:rsidR="00296233">
        <w:t xml:space="preserve">võib </w:t>
      </w:r>
      <w:r>
        <w:t xml:space="preserve">ettevõtjate hinnangul </w:t>
      </w:r>
      <w:r w:rsidR="00296233">
        <w:t xml:space="preserve">olla </w:t>
      </w:r>
      <w:r>
        <w:t>raske leida sobivat tööjõudu.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62"/>
    <w:rsid w:val="000064F9"/>
    <w:rsid w:val="000356F9"/>
    <w:rsid w:val="00047D5B"/>
    <w:rsid w:val="00056D8C"/>
    <w:rsid w:val="000B5595"/>
    <w:rsid w:val="000E0312"/>
    <w:rsid w:val="001556BB"/>
    <w:rsid w:val="00155D66"/>
    <w:rsid w:val="00173465"/>
    <w:rsid w:val="00185485"/>
    <w:rsid w:val="001F067C"/>
    <w:rsid w:val="00241CBA"/>
    <w:rsid w:val="002548D2"/>
    <w:rsid w:val="00296233"/>
    <w:rsid w:val="002C2C6B"/>
    <w:rsid w:val="002E7EBB"/>
    <w:rsid w:val="00317D8F"/>
    <w:rsid w:val="00392B48"/>
    <w:rsid w:val="003D2507"/>
    <w:rsid w:val="003F4D40"/>
    <w:rsid w:val="00487324"/>
    <w:rsid w:val="004E2C4E"/>
    <w:rsid w:val="00516062"/>
    <w:rsid w:val="00544296"/>
    <w:rsid w:val="00562D4F"/>
    <w:rsid w:val="005A5490"/>
    <w:rsid w:val="005C702F"/>
    <w:rsid w:val="005D1580"/>
    <w:rsid w:val="005D37EF"/>
    <w:rsid w:val="005E3DDF"/>
    <w:rsid w:val="005F0CA0"/>
    <w:rsid w:val="00614539"/>
    <w:rsid w:val="00640479"/>
    <w:rsid w:val="00661A80"/>
    <w:rsid w:val="00666CBF"/>
    <w:rsid w:val="00685F34"/>
    <w:rsid w:val="006A5A41"/>
    <w:rsid w:val="007026A6"/>
    <w:rsid w:val="007112CA"/>
    <w:rsid w:val="00711684"/>
    <w:rsid w:val="00725A7F"/>
    <w:rsid w:val="007336AC"/>
    <w:rsid w:val="00787228"/>
    <w:rsid w:val="007E4148"/>
    <w:rsid w:val="007E4395"/>
    <w:rsid w:val="0081506F"/>
    <w:rsid w:val="00817DD5"/>
    <w:rsid w:val="00833A9E"/>
    <w:rsid w:val="008377F6"/>
    <w:rsid w:val="00851207"/>
    <w:rsid w:val="00896089"/>
    <w:rsid w:val="00931388"/>
    <w:rsid w:val="0093517C"/>
    <w:rsid w:val="0099669C"/>
    <w:rsid w:val="009A15D6"/>
    <w:rsid w:val="00B52CA6"/>
    <w:rsid w:val="00B8141B"/>
    <w:rsid w:val="00B94F54"/>
    <w:rsid w:val="00BD72A1"/>
    <w:rsid w:val="00BD788E"/>
    <w:rsid w:val="00C35D36"/>
    <w:rsid w:val="00CA767B"/>
    <w:rsid w:val="00CC3684"/>
    <w:rsid w:val="00CF4067"/>
    <w:rsid w:val="00CF4C4F"/>
    <w:rsid w:val="00D6465B"/>
    <w:rsid w:val="00D672DA"/>
    <w:rsid w:val="00E04144"/>
    <w:rsid w:val="00E10F3B"/>
    <w:rsid w:val="00E6189B"/>
    <w:rsid w:val="00E942C6"/>
    <w:rsid w:val="00EC7BD9"/>
    <w:rsid w:val="00F36D3F"/>
    <w:rsid w:val="00FA2FC3"/>
    <w:rsid w:val="00FE4B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02DF"/>
  <w15:chartTrackingRefBased/>
  <w15:docId w15:val="{08A937D0-1C4B-45DB-BB49-EEB9BD9F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16062"/>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lmrkusetekst">
    <w:name w:val="footnote text"/>
    <w:basedOn w:val="Normaallaad"/>
    <w:link w:val="AllmrkusetekstMrk"/>
    <w:uiPriority w:val="99"/>
    <w:unhideWhenUsed/>
    <w:rsid w:val="002E7EBB"/>
    <w:pPr>
      <w:spacing w:after="0" w:line="240" w:lineRule="auto"/>
    </w:pPr>
    <w:rPr>
      <w:sz w:val="20"/>
      <w:szCs w:val="20"/>
    </w:rPr>
  </w:style>
  <w:style w:type="character" w:customStyle="1" w:styleId="AllmrkusetekstMrk">
    <w:name w:val="Allmärkuse tekst Märk"/>
    <w:basedOn w:val="Liguvaikefont"/>
    <w:link w:val="Allmrkusetekst"/>
    <w:uiPriority w:val="99"/>
    <w:rsid w:val="002E7EBB"/>
    <w:rPr>
      <w:sz w:val="20"/>
      <w:szCs w:val="20"/>
    </w:rPr>
  </w:style>
  <w:style w:type="character" w:styleId="Allmrkuseviide">
    <w:name w:val="footnote reference"/>
    <w:basedOn w:val="Liguvaikefont"/>
    <w:uiPriority w:val="99"/>
    <w:semiHidden/>
    <w:unhideWhenUsed/>
    <w:rsid w:val="002E7EBB"/>
    <w:rPr>
      <w:vertAlign w:val="superscript"/>
    </w:rPr>
  </w:style>
  <w:style w:type="character" w:styleId="Hperlink">
    <w:name w:val="Hyperlink"/>
    <w:basedOn w:val="Liguvaikefont"/>
    <w:uiPriority w:val="99"/>
    <w:unhideWhenUsed/>
    <w:rsid w:val="002E7EBB"/>
    <w:rPr>
      <w:color w:val="0563C1" w:themeColor="hyperlink"/>
      <w:u w:val="single"/>
    </w:rPr>
  </w:style>
  <w:style w:type="character" w:styleId="Klastatudhperlink">
    <w:name w:val="FollowedHyperlink"/>
    <w:basedOn w:val="Liguvaikefont"/>
    <w:uiPriority w:val="99"/>
    <w:semiHidden/>
    <w:unhideWhenUsed/>
    <w:rsid w:val="002E7EBB"/>
    <w:rPr>
      <w:color w:val="954F72" w:themeColor="followedHyperlink"/>
      <w:u w:val="single"/>
    </w:rPr>
  </w:style>
  <w:style w:type="table" w:styleId="Kontuurtabel">
    <w:name w:val="Table Grid"/>
    <w:basedOn w:val="Normaaltabel"/>
    <w:uiPriority w:val="39"/>
    <w:rsid w:val="00F3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basedOn w:val="Liguvaikefont"/>
    <w:uiPriority w:val="99"/>
    <w:semiHidden/>
    <w:unhideWhenUsed/>
    <w:rsid w:val="00B94F54"/>
    <w:rPr>
      <w:color w:val="605E5C"/>
      <w:shd w:val="clear" w:color="auto" w:fill="E1DFDD"/>
    </w:rPr>
  </w:style>
  <w:style w:type="paragraph" w:styleId="Pis">
    <w:name w:val="header"/>
    <w:basedOn w:val="Normaallaad"/>
    <w:link w:val="PisMrk"/>
    <w:uiPriority w:val="99"/>
    <w:unhideWhenUsed/>
    <w:rsid w:val="00666CBF"/>
    <w:pPr>
      <w:tabs>
        <w:tab w:val="center" w:pos="4536"/>
        <w:tab w:val="right" w:pos="9072"/>
      </w:tabs>
      <w:spacing w:after="0" w:line="240" w:lineRule="auto"/>
    </w:pPr>
  </w:style>
  <w:style w:type="character" w:customStyle="1" w:styleId="PisMrk">
    <w:name w:val="Päis Märk"/>
    <w:basedOn w:val="Liguvaikefont"/>
    <w:link w:val="Pis"/>
    <w:uiPriority w:val="99"/>
    <w:rsid w:val="00666CBF"/>
  </w:style>
  <w:style w:type="paragraph" w:styleId="Jalus">
    <w:name w:val="footer"/>
    <w:basedOn w:val="Normaallaad"/>
    <w:link w:val="JalusMrk"/>
    <w:uiPriority w:val="99"/>
    <w:unhideWhenUsed/>
    <w:rsid w:val="00666CBF"/>
    <w:pPr>
      <w:tabs>
        <w:tab w:val="center" w:pos="4536"/>
        <w:tab w:val="right" w:pos="9072"/>
      </w:tabs>
      <w:spacing w:after="0" w:line="240" w:lineRule="auto"/>
    </w:pPr>
  </w:style>
  <w:style w:type="character" w:customStyle="1" w:styleId="JalusMrk">
    <w:name w:val="Jalus Märk"/>
    <w:basedOn w:val="Liguvaikefont"/>
    <w:link w:val="Jalus"/>
    <w:uiPriority w:val="99"/>
    <w:rsid w:val="00666CBF"/>
  </w:style>
  <w:style w:type="paragraph" w:styleId="Jutumullitekst">
    <w:name w:val="Balloon Text"/>
    <w:basedOn w:val="Normaallaad"/>
    <w:link w:val="JutumullitekstMrk"/>
    <w:uiPriority w:val="99"/>
    <w:semiHidden/>
    <w:unhideWhenUsed/>
    <w:rsid w:val="00833A9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33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ublic.tableau.com/views/Prognoos2028/Sissejuhatus?:embed=y&amp;amp;:showVizHome=no&amp;amp;:display_count=no&amp;amp;publish=y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tag.ee/wp-content/uploads/2021/03/L%C3%B5pparuanne.pdf" TargetMode="External"/><Relationship Id="rId7" Type="http://schemas.openxmlformats.org/officeDocument/2006/relationships/hyperlink" Target="https://oska.kutsekoda.ee/wp-content/uploads/2018/12/Eesti-t%C3%B6%C3%B6turg-t%C3%A4na-ja-homme-2018.pdf" TargetMode="External"/><Relationship Id="rId2" Type="http://schemas.openxmlformats.org/officeDocument/2006/relationships/hyperlink" Target="http://www.praxis.ee/fileadmin/tarmo/Projektid/Innovatsiooni_poliitika/IKTtoo/Uuringu_lopparuanne.pdf" TargetMode="External"/><Relationship Id="rId1" Type="http://schemas.openxmlformats.org/officeDocument/2006/relationships/hyperlink" Target="https://www.mkm.ee/et/analuusid-ja-uuringud" TargetMode="External"/><Relationship Id="rId6" Type="http://schemas.openxmlformats.org/officeDocument/2006/relationships/hyperlink" Target="https://oska.kutsekoda.ee/wp-content/uploads/2020/12/Kasvavad-ja-kahanevad-pohikutsealad-08.12.20.xlsx" TargetMode="External"/><Relationship Id="rId5" Type="http://schemas.openxmlformats.org/officeDocument/2006/relationships/hyperlink" Target="http://oska.kutsekoda.ee/oska-valdkonnad/" TargetMode="External"/><Relationship Id="rId4" Type="http://schemas.openxmlformats.org/officeDocument/2006/relationships/hyperlink" Target="https://www.tootukassa.ee/baromeete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626166520851558"/>
          <c:y val="4.595991622889635E-2"/>
          <c:w val="0.50638305628463109"/>
          <c:h val="0.77409421478565177"/>
        </c:manualLayout>
      </c:layout>
      <c:barChart>
        <c:barDir val="bar"/>
        <c:grouping val="clustered"/>
        <c:varyColors val="0"/>
        <c:ser>
          <c:idx val="0"/>
          <c:order val="1"/>
          <c:tx>
            <c:strRef>
              <c:f>Leht1!$E$1</c:f>
              <c:strCache>
                <c:ptCount val="1"/>
                <c:pt idx="0">
                  <c:v>Tähtajalise elamisloa töötamiseks ja ettevõtluseks andmise otsused 2019-2020 keskmine</c:v>
                </c:pt>
              </c:strCache>
            </c:strRef>
          </c:tx>
          <c:spPr>
            <a:pattFill prst="dkVert">
              <a:fgClr>
                <a:schemeClr val="tx1"/>
              </a:fgClr>
              <a:bgClr>
                <a:schemeClr val="bg1"/>
              </a:bgClr>
            </a:pattFill>
            <a:ln>
              <a:noFill/>
            </a:ln>
            <a:effectLst/>
          </c:spPr>
          <c:invertIfNegative val="0"/>
          <c:cat>
            <c:strRef>
              <c:f>Leht1!$A$2:$A$20</c:f>
              <c:strCache>
                <c:ptCount val="19"/>
                <c:pt idx="0">
                  <c:v>Puudu/Märkimata*</c:v>
                </c:pt>
                <c:pt idx="1">
                  <c:v>Muud tegevusalad</c:v>
                </c:pt>
                <c:pt idx="2">
                  <c:v>Kunst, meelelahutus ja vaba aeg</c:v>
                </c:pt>
                <c:pt idx="3">
                  <c:v>Tervishoid ja sotsiaalhoolekanne</c:v>
                </c:pt>
                <c:pt idx="4">
                  <c:v>Haridus</c:v>
                </c:pt>
                <c:pt idx="5">
                  <c:v>Avalik haldus ja riigikaitse; kohustuslik sotsiaalkindlustus</c:v>
                </c:pt>
                <c:pt idx="6">
                  <c:v>Haldus- ja abitegevused</c:v>
                </c:pt>
                <c:pt idx="7">
                  <c:v>Kutse-, teadus- ja tehnikaalane tegevus</c:v>
                </c:pt>
                <c:pt idx="8">
                  <c:v>Kinnisvaraalane tegevus</c:v>
                </c:pt>
                <c:pt idx="9">
                  <c:v>Finants- ja kindlustustegevus</c:v>
                </c:pt>
                <c:pt idx="10">
                  <c:v>Info ja side</c:v>
                </c:pt>
                <c:pt idx="11">
                  <c:v>Majutus ja toitlustus</c:v>
                </c:pt>
                <c:pt idx="12">
                  <c:v>Veondus ja laondus</c:v>
                </c:pt>
                <c:pt idx="13">
                  <c:v>Hulgi- ja jaekaubandus; mootorsõidukite ja mootorrataste remont</c:v>
                </c:pt>
                <c:pt idx="14">
                  <c:v>Ehitus</c:v>
                </c:pt>
                <c:pt idx="15">
                  <c:v>Elektrienergia, gaasi-ja veevarustus, jäätmekäitlus</c:v>
                </c:pt>
                <c:pt idx="16">
                  <c:v>Töötlev tööstus</c:v>
                </c:pt>
                <c:pt idx="17">
                  <c:v>Mäetööstus</c:v>
                </c:pt>
                <c:pt idx="18">
                  <c:v>Põllumajandus, metsamajandus ja kalapüük</c:v>
                </c:pt>
              </c:strCache>
            </c:strRef>
          </c:cat>
          <c:val>
            <c:numRef>
              <c:f>Leht1!$E$2:$E$20</c:f>
              <c:numCache>
                <c:formatCode>0</c:formatCode>
                <c:ptCount val="19"/>
                <c:pt idx="0">
                  <c:v>268</c:v>
                </c:pt>
                <c:pt idx="1">
                  <c:v>428</c:v>
                </c:pt>
                <c:pt idx="2">
                  <c:v>37.5</c:v>
                </c:pt>
                <c:pt idx="3">
                  <c:v>21</c:v>
                </c:pt>
                <c:pt idx="4">
                  <c:v>65</c:v>
                </c:pt>
                <c:pt idx="5">
                  <c:v>1</c:v>
                </c:pt>
                <c:pt idx="6">
                  <c:v>40</c:v>
                </c:pt>
                <c:pt idx="7">
                  <c:v>62.5</c:v>
                </c:pt>
                <c:pt idx="8">
                  <c:v>9</c:v>
                </c:pt>
                <c:pt idx="9">
                  <c:v>93.5</c:v>
                </c:pt>
                <c:pt idx="10">
                  <c:v>650.5</c:v>
                </c:pt>
                <c:pt idx="11">
                  <c:v>90.5</c:v>
                </c:pt>
                <c:pt idx="12">
                  <c:v>157</c:v>
                </c:pt>
                <c:pt idx="13">
                  <c:v>65</c:v>
                </c:pt>
                <c:pt idx="14">
                  <c:v>285</c:v>
                </c:pt>
                <c:pt idx="15">
                  <c:v>32.5</c:v>
                </c:pt>
                <c:pt idx="16">
                  <c:v>705.5</c:v>
                </c:pt>
                <c:pt idx="17">
                  <c:v>1</c:v>
                </c:pt>
                <c:pt idx="18">
                  <c:v>28.5</c:v>
                </c:pt>
              </c:numCache>
            </c:numRef>
          </c:val>
          <c:extLst>
            <c:ext xmlns:c16="http://schemas.microsoft.com/office/drawing/2014/chart" uri="{C3380CC4-5D6E-409C-BE32-E72D297353CC}">
              <c16:uniqueId val="{00000000-F116-499B-8328-08068BD0CB21}"/>
            </c:ext>
          </c:extLst>
        </c:ser>
        <c:ser>
          <c:idx val="1"/>
          <c:order val="2"/>
          <c:tx>
            <c:strRef>
              <c:f>Leht1!$C$1</c:f>
              <c:strCache>
                <c:ptCount val="1"/>
                <c:pt idx="0">
                  <c:v>Hõivatud (x100), 2017-2019 keskmine</c:v>
                </c:pt>
              </c:strCache>
            </c:strRef>
          </c:tx>
          <c:spPr>
            <a:solidFill>
              <a:schemeClr val="tx1"/>
            </a:solidFill>
            <a:ln>
              <a:noFill/>
            </a:ln>
            <a:effectLst/>
          </c:spPr>
          <c:invertIfNegative val="0"/>
          <c:cat>
            <c:strRef>
              <c:f>Leht1!$A$2:$A$20</c:f>
              <c:strCache>
                <c:ptCount val="19"/>
                <c:pt idx="0">
                  <c:v>Puudu/Märkimata*</c:v>
                </c:pt>
                <c:pt idx="1">
                  <c:v>Muud tegevusalad</c:v>
                </c:pt>
                <c:pt idx="2">
                  <c:v>Kunst, meelelahutus ja vaba aeg</c:v>
                </c:pt>
                <c:pt idx="3">
                  <c:v>Tervishoid ja sotsiaalhoolekanne</c:v>
                </c:pt>
                <c:pt idx="4">
                  <c:v>Haridus</c:v>
                </c:pt>
                <c:pt idx="5">
                  <c:v>Avalik haldus ja riigikaitse; kohustuslik sotsiaalkindlustus</c:v>
                </c:pt>
                <c:pt idx="6">
                  <c:v>Haldus- ja abitegevused</c:v>
                </c:pt>
                <c:pt idx="7">
                  <c:v>Kutse-, teadus- ja tehnikaalane tegevus</c:v>
                </c:pt>
                <c:pt idx="8">
                  <c:v>Kinnisvaraalane tegevus</c:v>
                </c:pt>
                <c:pt idx="9">
                  <c:v>Finants- ja kindlustustegevus</c:v>
                </c:pt>
                <c:pt idx="10">
                  <c:v>Info ja side</c:v>
                </c:pt>
                <c:pt idx="11">
                  <c:v>Majutus ja toitlustus</c:v>
                </c:pt>
                <c:pt idx="12">
                  <c:v>Veondus ja laondus</c:v>
                </c:pt>
                <c:pt idx="13">
                  <c:v>Hulgi- ja jaekaubandus; mootorsõidukite ja mootorrataste remont</c:v>
                </c:pt>
                <c:pt idx="14">
                  <c:v>Ehitus</c:v>
                </c:pt>
                <c:pt idx="15">
                  <c:v>Elektrienergia, gaasi-ja veevarustus, jäätmekäitlus</c:v>
                </c:pt>
                <c:pt idx="16">
                  <c:v>Töötlev tööstus</c:v>
                </c:pt>
                <c:pt idx="17">
                  <c:v>Mäetööstus</c:v>
                </c:pt>
                <c:pt idx="18">
                  <c:v>Põllumajandus, metsamajandus ja kalapüük</c:v>
                </c:pt>
              </c:strCache>
            </c:strRef>
          </c:cat>
          <c:val>
            <c:numRef>
              <c:f>Leht1!$C$2:$C$20</c:f>
              <c:numCache>
                <c:formatCode>0</c:formatCode>
                <c:ptCount val="19"/>
                <c:pt idx="1">
                  <c:v>154</c:v>
                </c:pt>
                <c:pt idx="2">
                  <c:v>189</c:v>
                </c:pt>
                <c:pt idx="3">
                  <c:v>402</c:v>
                </c:pt>
                <c:pt idx="4">
                  <c:v>598</c:v>
                </c:pt>
                <c:pt idx="5">
                  <c:v>391</c:v>
                </c:pt>
                <c:pt idx="6">
                  <c:v>241</c:v>
                </c:pt>
                <c:pt idx="7">
                  <c:v>305</c:v>
                </c:pt>
                <c:pt idx="8">
                  <c:v>106</c:v>
                </c:pt>
                <c:pt idx="9">
                  <c:v>123</c:v>
                </c:pt>
                <c:pt idx="10">
                  <c:v>311</c:v>
                </c:pt>
                <c:pt idx="11">
                  <c:v>279</c:v>
                </c:pt>
                <c:pt idx="12">
                  <c:v>509</c:v>
                </c:pt>
                <c:pt idx="13">
                  <c:v>866</c:v>
                </c:pt>
                <c:pt idx="14">
                  <c:v>579</c:v>
                </c:pt>
                <c:pt idx="15">
                  <c:v>97</c:v>
                </c:pt>
                <c:pt idx="16">
                  <c:v>1233</c:v>
                </c:pt>
                <c:pt idx="17">
                  <c:v>46</c:v>
                </c:pt>
                <c:pt idx="18">
                  <c:v>221</c:v>
                </c:pt>
              </c:numCache>
            </c:numRef>
          </c:val>
          <c:extLst>
            <c:ext xmlns:c16="http://schemas.microsoft.com/office/drawing/2014/chart" uri="{C3380CC4-5D6E-409C-BE32-E72D297353CC}">
              <c16:uniqueId val="{00000001-F116-499B-8328-08068BD0CB21}"/>
            </c:ext>
          </c:extLst>
        </c:ser>
        <c:ser>
          <c:idx val="2"/>
          <c:order val="3"/>
          <c:tx>
            <c:strRef>
              <c:f>Leht1!$D$1</c:f>
              <c:strCache>
                <c:ptCount val="1"/>
                <c:pt idx="0">
                  <c:v>Puudujääk aastas 2017/19-2028 (noored, kutse- ja kõrgharidus)</c:v>
                </c:pt>
              </c:strCache>
            </c:strRef>
          </c:tx>
          <c:spPr>
            <a:solidFill>
              <a:srgbClr val="FFC000"/>
            </a:solidFill>
            <a:ln>
              <a:noFill/>
            </a:ln>
            <a:effectLst/>
          </c:spPr>
          <c:invertIfNegative val="0"/>
          <c:cat>
            <c:strRef>
              <c:f>Leht1!$A$2:$A$20</c:f>
              <c:strCache>
                <c:ptCount val="19"/>
                <c:pt idx="0">
                  <c:v>Puudu/Märkimata*</c:v>
                </c:pt>
                <c:pt idx="1">
                  <c:v>Muud tegevusalad</c:v>
                </c:pt>
                <c:pt idx="2">
                  <c:v>Kunst, meelelahutus ja vaba aeg</c:v>
                </c:pt>
                <c:pt idx="3">
                  <c:v>Tervishoid ja sotsiaalhoolekanne</c:v>
                </c:pt>
                <c:pt idx="4">
                  <c:v>Haridus</c:v>
                </c:pt>
                <c:pt idx="5">
                  <c:v>Avalik haldus ja riigikaitse; kohustuslik sotsiaalkindlustus</c:v>
                </c:pt>
                <c:pt idx="6">
                  <c:v>Haldus- ja abitegevused</c:v>
                </c:pt>
                <c:pt idx="7">
                  <c:v>Kutse-, teadus- ja tehnikaalane tegevus</c:v>
                </c:pt>
                <c:pt idx="8">
                  <c:v>Kinnisvaraalane tegevus</c:v>
                </c:pt>
                <c:pt idx="9">
                  <c:v>Finants- ja kindlustustegevus</c:v>
                </c:pt>
                <c:pt idx="10">
                  <c:v>Info ja side</c:v>
                </c:pt>
                <c:pt idx="11">
                  <c:v>Majutus ja toitlustus</c:v>
                </c:pt>
                <c:pt idx="12">
                  <c:v>Veondus ja laondus</c:v>
                </c:pt>
                <c:pt idx="13">
                  <c:v>Hulgi- ja jaekaubandus; mootorsõidukite ja mootorrataste remont</c:v>
                </c:pt>
                <c:pt idx="14">
                  <c:v>Ehitus</c:v>
                </c:pt>
                <c:pt idx="15">
                  <c:v>Elektrienergia, gaasi-ja veevarustus, jäätmekäitlus</c:v>
                </c:pt>
                <c:pt idx="16">
                  <c:v>Töötlev tööstus</c:v>
                </c:pt>
                <c:pt idx="17">
                  <c:v>Mäetööstus</c:v>
                </c:pt>
                <c:pt idx="18">
                  <c:v>Põllumajandus, metsamajandus ja kalapüük</c:v>
                </c:pt>
              </c:strCache>
            </c:strRef>
          </c:cat>
          <c:val>
            <c:numRef>
              <c:f>Leht1!$D$2:$D$20</c:f>
              <c:numCache>
                <c:formatCode>General</c:formatCode>
                <c:ptCount val="19"/>
                <c:pt idx="1">
                  <c:v>-7</c:v>
                </c:pt>
                <c:pt idx="2">
                  <c:v>17</c:v>
                </c:pt>
                <c:pt idx="3">
                  <c:v>497</c:v>
                </c:pt>
                <c:pt idx="4">
                  <c:v>374</c:v>
                </c:pt>
                <c:pt idx="5">
                  <c:v>57</c:v>
                </c:pt>
                <c:pt idx="6">
                  <c:v>-68</c:v>
                </c:pt>
                <c:pt idx="7">
                  <c:v>66</c:v>
                </c:pt>
                <c:pt idx="8">
                  <c:v>96</c:v>
                </c:pt>
                <c:pt idx="9">
                  <c:v>-305</c:v>
                </c:pt>
                <c:pt idx="10">
                  <c:v>508</c:v>
                </c:pt>
                <c:pt idx="11">
                  <c:v>-215</c:v>
                </c:pt>
                <c:pt idx="12">
                  <c:v>271</c:v>
                </c:pt>
                <c:pt idx="13">
                  <c:v>-320</c:v>
                </c:pt>
                <c:pt idx="14">
                  <c:v>253</c:v>
                </c:pt>
                <c:pt idx="15">
                  <c:v>123</c:v>
                </c:pt>
                <c:pt idx="16">
                  <c:v>548</c:v>
                </c:pt>
                <c:pt idx="17">
                  <c:v>26</c:v>
                </c:pt>
                <c:pt idx="18">
                  <c:v>103</c:v>
                </c:pt>
              </c:numCache>
            </c:numRef>
          </c:val>
          <c:extLst>
            <c:ext xmlns:c16="http://schemas.microsoft.com/office/drawing/2014/chart" uri="{C3380CC4-5D6E-409C-BE32-E72D297353CC}">
              <c16:uniqueId val="{00000002-F116-499B-8328-08068BD0CB21}"/>
            </c:ext>
          </c:extLst>
        </c:ser>
        <c:ser>
          <c:idx val="9"/>
          <c:order val="4"/>
          <c:tx>
            <c:strRef>
              <c:f>Leht1!$B$1</c:f>
              <c:strCache>
                <c:ptCount val="1"/>
                <c:pt idx="0">
                  <c:v>Välismaal töötamine (x10), 2017-2019 keskmine</c:v>
                </c:pt>
              </c:strCache>
            </c:strRef>
          </c:tx>
          <c:spPr>
            <a:solidFill>
              <a:schemeClr val="accent4">
                <a:lumMod val="60000"/>
              </a:schemeClr>
            </a:solidFill>
            <a:ln>
              <a:noFill/>
            </a:ln>
            <a:effectLst/>
          </c:spPr>
          <c:invertIfNegative val="0"/>
          <c:val>
            <c:numRef>
              <c:f>Leht1!$B$2:$B$20</c:f>
              <c:numCache>
                <c:formatCode>0</c:formatCode>
                <c:ptCount val="19"/>
                <c:pt idx="1">
                  <c:v>70.552164623330341</c:v>
                </c:pt>
                <c:pt idx="2">
                  <c:v>15.105109622047836</c:v>
                </c:pt>
                <c:pt idx="3">
                  <c:v>25.827858149073101</c:v>
                </c:pt>
                <c:pt idx="4">
                  <c:v>18.254561832002469</c:v>
                </c:pt>
                <c:pt idx="5">
                  <c:v>17.355305979037201</c:v>
                </c:pt>
                <c:pt idx="6">
                  <c:v>50.622683116547073</c:v>
                </c:pt>
                <c:pt idx="7">
                  <c:v>27.075201727854804</c:v>
                </c:pt>
                <c:pt idx="8">
                  <c:v>8.8989337207708665</c:v>
                </c:pt>
                <c:pt idx="9">
                  <c:v>10.437533333333333</c:v>
                </c:pt>
                <c:pt idx="10">
                  <c:v>8.7045108167569989</c:v>
                </c:pt>
                <c:pt idx="11">
                  <c:v>46.373714048531227</c:v>
                </c:pt>
                <c:pt idx="12">
                  <c:v>231.77186013732376</c:v>
                </c:pt>
                <c:pt idx="13">
                  <c:v>35.748533041796733</c:v>
                </c:pt>
                <c:pt idx="14">
                  <c:v>889.82761376271003</c:v>
                </c:pt>
                <c:pt idx="15">
                  <c:v>5.4365000000000006</c:v>
                </c:pt>
                <c:pt idx="16">
                  <c:v>203.72558852180168</c:v>
                </c:pt>
                <c:pt idx="17">
                  <c:v>0.93910000000000005</c:v>
                </c:pt>
                <c:pt idx="18">
                  <c:v>59.194870399993249</c:v>
                </c:pt>
              </c:numCache>
            </c:numRef>
          </c:val>
          <c:extLst>
            <c:ext xmlns:c16="http://schemas.microsoft.com/office/drawing/2014/chart" uri="{C3380CC4-5D6E-409C-BE32-E72D297353CC}">
              <c16:uniqueId val="{00000003-F116-499B-8328-08068BD0CB21}"/>
            </c:ext>
          </c:extLst>
        </c:ser>
        <c:dLbls>
          <c:showLegendKey val="0"/>
          <c:showVal val="0"/>
          <c:showCatName val="0"/>
          <c:showSerName val="0"/>
          <c:showPercent val="0"/>
          <c:showBubbleSize val="0"/>
        </c:dLbls>
        <c:gapWidth val="200"/>
        <c:axId val="1590895327"/>
        <c:axId val="1663293375"/>
      </c:barChart>
      <c:barChart>
        <c:barDir val="bar"/>
        <c:grouping val="clustered"/>
        <c:varyColors val="0"/>
        <c:ser>
          <c:idx val="8"/>
          <c:order val="0"/>
          <c:tx>
            <c:strRef>
              <c:f>Leht1!$N$1</c:f>
              <c:strCache>
                <c:ptCount val="1"/>
                <c:pt idx="0">
                  <c:v>Lühiajalise töötamise registreerimise otsused 2019-2020 keskmine (ülemine skaala)</c:v>
                </c:pt>
              </c:strCache>
            </c:strRef>
          </c:tx>
          <c:spPr>
            <a:pattFill prst="dkUpDiag">
              <a:fgClr>
                <a:schemeClr val="tx1"/>
              </a:fgClr>
              <a:bgClr>
                <a:schemeClr val="bg1"/>
              </a:bgClr>
            </a:pattFill>
            <a:ln>
              <a:noFill/>
            </a:ln>
            <a:effectLst/>
          </c:spPr>
          <c:invertIfNegative val="0"/>
          <c:dLbls>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16-499B-8328-08068BD0CB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Leht1!$A$2:$A$20</c:f>
              <c:strCache>
                <c:ptCount val="19"/>
                <c:pt idx="0">
                  <c:v>Puudu/Märkimata*</c:v>
                </c:pt>
                <c:pt idx="1">
                  <c:v>Muud tegevusalad</c:v>
                </c:pt>
                <c:pt idx="2">
                  <c:v>Kunst, meelelahutus ja vaba aeg</c:v>
                </c:pt>
                <c:pt idx="3">
                  <c:v>Tervishoid ja sotsiaalhoolekanne</c:v>
                </c:pt>
                <c:pt idx="4">
                  <c:v>Haridus</c:v>
                </c:pt>
                <c:pt idx="5">
                  <c:v>Avalik haldus ja riigikaitse; kohustuslik sotsiaalkindlustus</c:v>
                </c:pt>
                <c:pt idx="6">
                  <c:v>Haldus- ja abitegevused</c:v>
                </c:pt>
                <c:pt idx="7">
                  <c:v>Kutse-, teadus- ja tehnikaalane tegevus</c:v>
                </c:pt>
                <c:pt idx="8">
                  <c:v>Kinnisvaraalane tegevus</c:v>
                </c:pt>
                <c:pt idx="9">
                  <c:v>Finants- ja kindlustustegevus</c:v>
                </c:pt>
                <c:pt idx="10">
                  <c:v>Info ja side</c:v>
                </c:pt>
                <c:pt idx="11">
                  <c:v>Majutus ja toitlustus</c:v>
                </c:pt>
                <c:pt idx="12">
                  <c:v>Veondus ja laondus</c:v>
                </c:pt>
                <c:pt idx="13">
                  <c:v>Hulgi- ja jaekaubandus; mootorsõidukite ja mootorrataste remont</c:v>
                </c:pt>
                <c:pt idx="14">
                  <c:v>Ehitus</c:v>
                </c:pt>
                <c:pt idx="15">
                  <c:v>Elektrienergia, gaasi-ja veevarustus, jäätmekäitlus</c:v>
                </c:pt>
                <c:pt idx="16">
                  <c:v>Töötlev tööstus</c:v>
                </c:pt>
                <c:pt idx="17">
                  <c:v>Mäetööstus</c:v>
                </c:pt>
                <c:pt idx="18">
                  <c:v>Põllumajandus, metsamajandus ja kalapüük</c:v>
                </c:pt>
              </c:strCache>
            </c:strRef>
          </c:cat>
          <c:val>
            <c:numRef>
              <c:f>Leht1!$N$2:$N$20</c:f>
              <c:numCache>
                <c:formatCode>0</c:formatCode>
                <c:ptCount val="19"/>
                <c:pt idx="0">
                  <c:v>14</c:v>
                </c:pt>
                <c:pt idx="1">
                  <c:v>2021</c:v>
                </c:pt>
                <c:pt idx="2">
                  <c:v>270.5</c:v>
                </c:pt>
                <c:pt idx="3">
                  <c:v>46</c:v>
                </c:pt>
                <c:pt idx="4">
                  <c:v>192</c:v>
                </c:pt>
                <c:pt idx="5">
                  <c:v>5.5</c:v>
                </c:pt>
                <c:pt idx="6">
                  <c:v>990</c:v>
                </c:pt>
                <c:pt idx="7">
                  <c:v>200.5</c:v>
                </c:pt>
                <c:pt idx="8">
                  <c:v>191</c:v>
                </c:pt>
                <c:pt idx="9">
                  <c:v>184.5</c:v>
                </c:pt>
                <c:pt idx="10">
                  <c:v>796.5</c:v>
                </c:pt>
                <c:pt idx="11">
                  <c:v>1138.5</c:v>
                </c:pt>
                <c:pt idx="12">
                  <c:v>1812.5</c:v>
                </c:pt>
                <c:pt idx="13">
                  <c:v>750.5</c:v>
                </c:pt>
                <c:pt idx="14">
                  <c:v>9256.5</c:v>
                </c:pt>
                <c:pt idx="15">
                  <c:v>179</c:v>
                </c:pt>
                <c:pt idx="16">
                  <c:v>6142.5</c:v>
                </c:pt>
                <c:pt idx="17">
                  <c:v>18</c:v>
                </c:pt>
                <c:pt idx="18">
                  <c:v>2922</c:v>
                </c:pt>
              </c:numCache>
            </c:numRef>
          </c:val>
          <c:extLst>
            <c:ext xmlns:c16="http://schemas.microsoft.com/office/drawing/2014/chart" uri="{C3380CC4-5D6E-409C-BE32-E72D297353CC}">
              <c16:uniqueId val="{00000005-F116-499B-8328-08068BD0CB21}"/>
            </c:ext>
          </c:extLst>
        </c:ser>
        <c:ser>
          <c:idx val="6"/>
          <c:order val="5"/>
          <c:tx>
            <c:strRef>
              <c:f>Leht1!$F$1</c:f>
              <c:strCache>
                <c:ptCount val="1"/>
                <c:pt idx="0">
                  <c:v>v1</c:v>
                </c:pt>
              </c:strCache>
            </c:strRef>
          </c:tx>
          <c:spPr>
            <a:solidFill>
              <a:schemeClr val="accent1">
                <a:lumMod val="60000"/>
              </a:schemeClr>
            </a:solidFill>
            <a:ln>
              <a:noFill/>
            </a:ln>
            <a:effectLst/>
          </c:spPr>
          <c:invertIfNegative val="0"/>
          <c:cat>
            <c:strRef>
              <c:f>Leht1!$A$2:$A$20</c:f>
              <c:strCache>
                <c:ptCount val="19"/>
                <c:pt idx="0">
                  <c:v>Puudu/Märkimata*</c:v>
                </c:pt>
                <c:pt idx="1">
                  <c:v>Muud tegevusalad</c:v>
                </c:pt>
                <c:pt idx="2">
                  <c:v>Kunst, meelelahutus ja vaba aeg</c:v>
                </c:pt>
                <c:pt idx="3">
                  <c:v>Tervishoid ja sotsiaalhoolekanne</c:v>
                </c:pt>
                <c:pt idx="4">
                  <c:v>Haridus</c:v>
                </c:pt>
                <c:pt idx="5">
                  <c:v>Avalik haldus ja riigikaitse; kohustuslik sotsiaalkindlustus</c:v>
                </c:pt>
                <c:pt idx="6">
                  <c:v>Haldus- ja abitegevused</c:v>
                </c:pt>
                <c:pt idx="7">
                  <c:v>Kutse-, teadus- ja tehnikaalane tegevus</c:v>
                </c:pt>
                <c:pt idx="8">
                  <c:v>Kinnisvaraalane tegevus</c:v>
                </c:pt>
                <c:pt idx="9">
                  <c:v>Finants- ja kindlustustegevus</c:v>
                </c:pt>
                <c:pt idx="10">
                  <c:v>Info ja side</c:v>
                </c:pt>
                <c:pt idx="11">
                  <c:v>Majutus ja toitlustus</c:v>
                </c:pt>
                <c:pt idx="12">
                  <c:v>Veondus ja laondus</c:v>
                </c:pt>
                <c:pt idx="13">
                  <c:v>Hulgi- ja jaekaubandus; mootorsõidukite ja mootorrataste remont</c:v>
                </c:pt>
                <c:pt idx="14">
                  <c:v>Ehitus</c:v>
                </c:pt>
                <c:pt idx="15">
                  <c:v>Elektrienergia, gaasi-ja veevarustus, jäätmekäitlus</c:v>
                </c:pt>
                <c:pt idx="16">
                  <c:v>Töötlev tööstus</c:v>
                </c:pt>
                <c:pt idx="17">
                  <c:v>Mäetööstus</c:v>
                </c:pt>
                <c:pt idx="18">
                  <c:v>Põllumajandus, metsamajandus ja kalapüük</c:v>
                </c:pt>
              </c:strCache>
            </c:strRef>
          </c:cat>
          <c:val>
            <c:numRef>
              <c:f>Leht1!$F$2:$F$20</c:f>
              <c:numCache>
                <c:formatCode>General</c:formatCode>
                <c:ptCount val="19"/>
              </c:numCache>
            </c:numRef>
          </c:val>
          <c:extLst>
            <c:ext xmlns:c16="http://schemas.microsoft.com/office/drawing/2014/chart" uri="{C3380CC4-5D6E-409C-BE32-E72D297353CC}">
              <c16:uniqueId val="{00000006-F116-499B-8328-08068BD0CB21}"/>
            </c:ext>
          </c:extLst>
        </c:ser>
        <c:ser>
          <c:idx val="7"/>
          <c:order val="6"/>
          <c:tx>
            <c:strRef>
              <c:f>Leht1!$G$1</c:f>
              <c:strCache>
                <c:ptCount val="1"/>
                <c:pt idx="0">
                  <c:v>v2</c:v>
                </c:pt>
              </c:strCache>
            </c:strRef>
          </c:tx>
          <c:spPr>
            <a:solidFill>
              <a:schemeClr val="accent2">
                <a:lumMod val="60000"/>
              </a:schemeClr>
            </a:solidFill>
            <a:ln>
              <a:noFill/>
            </a:ln>
            <a:effectLst/>
          </c:spPr>
          <c:invertIfNegative val="0"/>
          <c:cat>
            <c:strRef>
              <c:f>Leht1!$A$2:$A$20</c:f>
              <c:strCache>
                <c:ptCount val="19"/>
                <c:pt idx="0">
                  <c:v>Puudu/Märkimata*</c:v>
                </c:pt>
                <c:pt idx="1">
                  <c:v>Muud tegevusalad</c:v>
                </c:pt>
                <c:pt idx="2">
                  <c:v>Kunst, meelelahutus ja vaba aeg</c:v>
                </c:pt>
                <c:pt idx="3">
                  <c:v>Tervishoid ja sotsiaalhoolekanne</c:v>
                </c:pt>
                <c:pt idx="4">
                  <c:v>Haridus</c:v>
                </c:pt>
                <c:pt idx="5">
                  <c:v>Avalik haldus ja riigikaitse; kohustuslik sotsiaalkindlustus</c:v>
                </c:pt>
                <c:pt idx="6">
                  <c:v>Haldus- ja abitegevused</c:v>
                </c:pt>
                <c:pt idx="7">
                  <c:v>Kutse-, teadus- ja tehnikaalane tegevus</c:v>
                </c:pt>
                <c:pt idx="8">
                  <c:v>Kinnisvaraalane tegevus</c:v>
                </c:pt>
                <c:pt idx="9">
                  <c:v>Finants- ja kindlustustegevus</c:v>
                </c:pt>
                <c:pt idx="10">
                  <c:v>Info ja side</c:v>
                </c:pt>
                <c:pt idx="11">
                  <c:v>Majutus ja toitlustus</c:v>
                </c:pt>
                <c:pt idx="12">
                  <c:v>Veondus ja laondus</c:v>
                </c:pt>
                <c:pt idx="13">
                  <c:v>Hulgi- ja jaekaubandus; mootorsõidukite ja mootorrataste remont</c:v>
                </c:pt>
                <c:pt idx="14">
                  <c:v>Ehitus</c:v>
                </c:pt>
                <c:pt idx="15">
                  <c:v>Elektrienergia, gaasi-ja veevarustus, jäätmekäitlus</c:v>
                </c:pt>
                <c:pt idx="16">
                  <c:v>Töötlev tööstus</c:v>
                </c:pt>
                <c:pt idx="17">
                  <c:v>Mäetööstus</c:v>
                </c:pt>
                <c:pt idx="18">
                  <c:v>Põllumajandus, metsamajandus ja kalapüük</c:v>
                </c:pt>
              </c:strCache>
            </c:strRef>
          </c:cat>
          <c:val>
            <c:numRef>
              <c:f>Leht1!#REF!</c:f>
              <c:numCache>
                <c:formatCode>General</c:formatCode>
                <c:ptCount val="1"/>
                <c:pt idx="0">
                  <c:v>1</c:v>
                </c:pt>
              </c:numCache>
            </c:numRef>
          </c:val>
          <c:extLst>
            <c:ext xmlns:c16="http://schemas.microsoft.com/office/drawing/2014/chart" uri="{C3380CC4-5D6E-409C-BE32-E72D297353CC}">
              <c16:uniqueId val="{00000007-F116-499B-8328-08068BD0CB21}"/>
            </c:ext>
          </c:extLst>
        </c:ser>
        <c:ser>
          <c:idx val="3"/>
          <c:order val="7"/>
          <c:tx>
            <c:strRef>
              <c:f>Leht1!$H$1</c:f>
              <c:strCache>
                <c:ptCount val="1"/>
                <c:pt idx="0">
                  <c:v>v3</c:v>
                </c:pt>
              </c:strCache>
            </c:strRef>
          </c:tx>
          <c:spPr>
            <a:solidFill>
              <a:schemeClr val="accent4"/>
            </a:solidFill>
            <a:ln>
              <a:noFill/>
            </a:ln>
            <a:effectLst/>
          </c:spPr>
          <c:invertIfNegative val="0"/>
          <c:cat>
            <c:strRef>
              <c:f>Leht1!$A$2:$A$20</c:f>
              <c:strCache>
                <c:ptCount val="19"/>
                <c:pt idx="0">
                  <c:v>Puudu/Märkimata*</c:v>
                </c:pt>
                <c:pt idx="1">
                  <c:v>Muud tegevusalad</c:v>
                </c:pt>
                <c:pt idx="2">
                  <c:v>Kunst, meelelahutus ja vaba aeg</c:v>
                </c:pt>
                <c:pt idx="3">
                  <c:v>Tervishoid ja sotsiaalhoolekanne</c:v>
                </c:pt>
                <c:pt idx="4">
                  <c:v>Haridus</c:v>
                </c:pt>
                <c:pt idx="5">
                  <c:v>Avalik haldus ja riigikaitse; kohustuslik sotsiaalkindlustus</c:v>
                </c:pt>
                <c:pt idx="6">
                  <c:v>Haldus- ja abitegevused</c:v>
                </c:pt>
                <c:pt idx="7">
                  <c:v>Kutse-, teadus- ja tehnikaalane tegevus</c:v>
                </c:pt>
                <c:pt idx="8">
                  <c:v>Kinnisvaraalane tegevus</c:v>
                </c:pt>
                <c:pt idx="9">
                  <c:v>Finants- ja kindlustustegevus</c:v>
                </c:pt>
                <c:pt idx="10">
                  <c:v>Info ja side</c:v>
                </c:pt>
                <c:pt idx="11">
                  <c:v>Majutus ja toitlustus</c:v>
                </c:pt>
                <c:pt idx="12">
                  <c:v>Veondus ja laondus</c:v>
                </c:pt>
                <c:pt idx="13">
                  <c:v>Hulgi- ja jaekaubandus; mootorsõidukite ja mootorrataste remont</c:v>
                </c:pt>
                <c:pt idx="14">
                  <c:v>Ehitus</c:v>
                </c:pt>
                <c:pt idx="15">
                  <c:v>Elektrienergia, gaasi-ja veevarustus, jäätmekäitlus</c:v>
                </c:pt>
                <c:pt idx="16">
                  <c:v>Töötlev tööstus</c:v>
                </c:pt>
                <c:pt idx="17">
                  <c:v>Mäetööstus</c:v>
                </c:pt>
                <c:pt idx="18">
                  <c:v>Põllumajandus, metsamajandus ja kalapüük</c:v>
                </c:pt>
              </c:strCache>
            </c:strRef>
          </c:cat>
          <c:val>
            <c:numRef>
              <c:f>Leht1!$H$2:$H$20</c:f>
              <c:numCache>
                <c:formatCode>General</c:formatCode>
                <c:ptCount val="19"/>
              </c:numCache>
            </c:numRef>
          </c:val>
          <c:extLst>
            <c:ext xmlns:c16="http://schemas.microsoft.com/office/drawing/2014/chart" uri="{C3380CC4-5D6E-409C-BE32-E72D297353CC}">
              <c16:uniqueId val="{00000008-F116-499B-8328-08068BD0CB21}"/>
            </c:ext>
          </c:extLst>
        </c:ser>
        <c:ser>
          <c:idx val="4"/>
          <c:order val="8"/>
          <c:tx>
            <c:strRef>
              <c:f>Leht1!$I$1</c:f>
              <c:strCache>
                <c:ptCount val="1"/>
                <c:pt idx="0">
                  <c:v>v4</c:v>
                </c:pt>
              </c:strCache>
            </c:strRef>
          </c:tx>
          <c:spPr>
            <a:solidFill>
              <a:schemeClr val="accent5"/>
            </a:solidFill>
            <a:ln>
              <a:noFill/>
            </a:ln>
            <a:effectLst/>
          </c:spPr>
          <c:invertIfNegative val="0"/>
          <c:cat>
            <c:strRef>
              <c:f>Leht1!$A$2:$A$20</c:f>
              <c:strCache>
                <c:ptCount val="19"/>
                <c:pt idx="0">
                  <c:v>Puudu/Märkimata*</c:v>
                </c:pt>
                <c:pt idx="1">
                  <c:v>Muud tegevusalad</c:v>
                </c:pt>
                <c:pt idx="2">
                  <c:v>Kunst, meelelahutus ja vaba aeg</c:v>
                </c:pt>
                <c:pt idx="3">
                  <c:v>Tervishoid ja sotsiaalhoolekanne</c:v>
                </c:pt>
                <c:pt idx="4">
                  <c:v>Haridus</c:v>
                </c:pt>
                <c:pt idx="5">
                  <c:v>Avalik haldus ja riigikaitse; kohustuslik sotsiaalkindlustus</c:v>
                </c:pt>
                <c:pt idx="6">
                  <c:v>Haldus- ja abitegevused</c:v>
                </c:pt>
                <c:pt idx="7">
                  <c:v>Kutse-, teadus- ja tehnikaalane tegevus</c:v>
                </c:pt>
                <c:pt idx="8">
                  <c:v>Kinnisvaraalane tegevus</c:v>
                </c:pt>
                <c:pt idx="9">
                  <c:v>Finants- ja kindlustustegevus</c:v>
                </c:pt>
                <c:pt idx="10">
                  <c:v>Info ja side</c:v>
                </c:pt>
                <c:pt idx="11">
                  <c:v>Majutus ja toitlustus</c:v>
                </c:pt>
                <c:pt idx="12">
                  <c:v>Veondus ja laondus</c:v>
                </c:pt>
                <c:pt idx="13">
                  <c:v>Hulgi- ja jaekaubandus; mootorsõidukite ja mootorrataste remont</c:v>
                </c:pt>
                <c:pt idx="14">
                  <c:v>Ehitus</c:v>
                </c:pt>
                <c:pt idx="15">
                  <c:v>Elektrienergia, gaasi-ja veevarustus, jäätmekäitlus</c:v>
                </c:pt>
                <c:pt idx="16">
                  <c:v>Töötlev tööstus</c:v>
                </c:pt>
                <c:pt idx="17">
                  <c:v>Mäetööstus</c:v>
                </c:pt>
                <c:pt idx="18">
                  <c:v>Põllumajandus, metsamajandus ja kalapüük</c:v>
                </c:pt>
              </c:strCache>
            </c:strRef>
          </c:cat>
          <c:val>
            <c:numRef>
              <c:f>Leht1!$I$2:$I$20</c:f>
              <c:numCache>
                <c:formatCode>General</c:formatCode>
                <c:ptCount val="19"/>
              </c:numCache>
            </c:numRef>
          </c:val>
          <c:extLst>
            <c:ext xmlns:c16="http://schemas.microsoft.com/office/drawing/2014/chart" uri="{C3380CC4-5D6E-409C-BE32-E72D297353CC}">
              <c16:uniqueId val="{00000009-F116-499B-8328-08068BD0CB21}"/>
            </c:ext>
          </c:extLst>
        </c:ser>
        <c:ser>
          <c:idx val="10"/>
          <c:order val="9"/>
          <c:tx>
            <c:strRef>
              <c:f>Leht1!$J$1</c:f>
              <c:strCache>
                <c:ptCount val="1"/>
                <c:pt idx="0">
                  <c:v>v5</c:v>
                </c:pt>
              </c:strCache>
            </c:strRef>
          </c:tx>
          <c:spPr>
            <a:solidFill>
              <a:schemeClr val="accent5">
                <a:lumMod val="60000"/>
              </a:schemeClr>
            </a:solidFill>
            <a:ln>
              <a:noFill/>
            </a:ln>
            <a:effectLst/>
          </c:spPr>
          <c:invertIfNegative val="0"/>
          <c:val>
            <c:numRef>
              <c:f>Leht1!$J$2:$J$20</c:f>
              <c:numCache>
                <c:formatCode>General</c:formatCode>
                <c:ptCount val="19"/>
              </c:numCache>
            </c:numRef>
          </c:val>
          <c:extLst>
            <c:ext xmlns:c16="http://schemas.microsoft.com/office/drawing/2014/chart" uri="{C3380CC4-5D6E-409C-BE32-E72D297353CC}">
              <c16:uniqueId val="{0000000A-F116-499B-8328-08068BD0CB21}"/>
            </c:ext>
          </c:extLst>
        </c:ser>
        <c:ser>
          <c:idx val="5"/>
          <c:order val="10"/>
          <c:tx>
            <c:strRef>
              <c:f>Leht1!$K$1</c:f>
              <c:strCache>
                <c:ptCount val="1"/>
                <c:pt idx="0">
                  <c:v>v6</c:v>
                </c:pt>
              </c:strCache>
            </c:strRef>
          </c:tx>
          <c:spPr>
            <a:solidFill>
              <a:schemeClr val="accent6"/>
            </a:solidFill>
            <a:ln>
              <a:noFill/>
            </a:ln>
            <a:effectLst/>
          </c:spPr>
          <c:invertIfNegative val="0"/>
          <c:cat>
            <c:strRef>
              <c:f>Leht1!$A$2:$A$20</c:f>
              <c:strCache>
                <c:ptCount val="19"/>
                <c:pt idx="0">
                  <c:v>Puudu/Märkimata*</c:v>
                </c:pt>
                <c:pt idx="1">
                  <c:v>Muud tegevusalad</c:v>
                </c:pt>
                <c:pt idx="2">
                  <c:v>Kunst, meelelahutus ja vaba aeg</c:v>
                </c:pt>
                <c:pt idx="3">
                  <c:v>Tervishoid ja sotsiaalhoolekanne</c:v>
                </c:pt>
                <c:pt idx="4">
                  <c:v>Haridus</c:v>
                </c:pt>
                <c:pt idx="5">
                  <c:v>Avalik haldus ja riigikaitse; kohustuslik sotsiaalkindlustus</c:v>
                </c:pt>
                <c:pt idx="6">
                  <c:v>Haldus- ja abitegevused</c:v>
                </c:pt>
                <c:pt idx="7">
                  <c:v>Kutse-, teadus- ja tehnikaalane tegevus</c:v>
                </c:pt>
                <c:pt idx="8">
                  <c:v>Kinnisvaraalane tegevus</c:v>
                </c:pt>
                <c:pt idx="9">
                  <c:v>Finants- ja kindlustustegevus</c:v>
                </c:pt>
                <c:pt idx="10">
                  <c:v>Info ja side</c:v>
                </c:pt>
                <c:pt idx="11">
                  <c:v>Majutus ja toitlustus</c:v>
                </c:pt>
                <c:pt idx="12">
                  <c:v>Veondus ja laondus</c:v>
                </c:pt>
                <c:pt idx="13">
                  <c:v>Hulgi- ja jaekaubandus; mootorsõidukite ja mootorrataste remont</c:v>
                </c:pt>
                <c:pt idx="14">
                  <c:v>Ehitus</c:v>
                </c:pt>
                <c:pt idx="15">
                  <c:v>Elektrienergia, gaasi-ja veevarustus, jäätmekäitlus</c:v>
                </c:pt>
                <c:pt idx="16">
                  <c:v>Töötlev tööstus</c:v>
                </c:pt>
                <c:pt idx="17">
                  <c:v>Mäetööstus</c:v>
                </c:pt>
                <c:pt idx="18">
                  <c:v>Põllumajandus, metsamajandus ja kalapüük</c:v>
                </c:pt>
              </c:strCache>
            </c:strRef>
          </c:cat>
          <c:val>
            <c:numRef>
              <c:f>Leht1!$K$2:$K$20</c:f>
              <c:numCache>
                <c:formatCode>General</c:formatCode>
                <c:ptCount val="19"/>
              </c:numCache>
            </c:numRef>
          </c:val>
          <c:extLst>
            <c:ext xmlns:c16="http://schemas.microsoft.com/office/drawing/2014/chart" uri="{C3380CC4-5D6E-409C-BE32-E72D297353CC}">
              <c16:uniqueId val="{0000000B-F116-499B-8328-08068BD0CB21}"/>
            </c:ext>
          </c:extLst>
        </c:ser>
        <c:ser>
          <c:idx val="11"/>
          <c:order val="11"/>
          <c:tx>
            <c:strRef>
              <c:f>Leht1!$L$1</c:f>
              <c:strCache>
                <c:ptCount val="1"/>
                <c:pt idx="0">
                  <c:v>v7</c:v>
                </c:pt>
              </c:strCache>
            </c:strRef>
          </c:tx>
          <c:spPr>
            <a:solidFill>
              <a:schemeClr val="accent6">
                <a:lumMod val="60000"/>
              </a:schemeClr>
            </a:solidFill>
            <a:ln>
              <a:noFill/>
            </a:ln>
            <a:effectLst/>
          </c:spPr>
          <c:invertIfNegative val="0"/>
          <c:val>
            <c:numRef>
              <c:f>Leht1!$L$2:$L$20</c:f>
              <c:numCache>
                <c:formatCode>General</c:formatCode>
                <c:ptCount val="19"/>
              </c:numCache>
            </c:numRef>
          </c:val>
          <c:extLst>
            <c:ext xmlns:c16="http://schemas.microsoft.com/office/drawing/2014/chart" uri="{C3380CC4-5D6E-409C-BE32-E72D297353CC}">
              <c16:uniqueId val="{0000000C-F116-499B-8328-08068BD0CB21}"/>
            </c:ext>
          </c:extLst>
        </c:ser>
        <c:ser>
          <c:idx val="12"/>
          <c:order val="12"/>
          <c:tx>
            <c:strRef>
              <c:f>Leht1!$M$1</c:f>
              <c:strCache>
                <c:ptCount val="1"/>
                <c:pt idx="0">
                  <c:v>v8</c:v>
                </c:pt>
              </c:strCache>
            </c:strRef>
          </c:tx>
          <c:spPr>
            <a:solidFill>
              <a:schemeClr val="accent1">
                <a:lumMod val="80000"/>
                <a:lumOff val="20000"/>
              </a:schemeClr>
            </a:solidFill>
            <a:ln>
              <a:noFill/>
            </a:ln>
            <a:effectLst/>
          </c:spPr>
          <c:invertIfNegative val="0"/>
          <c:val>
            <c:numRef>
              <c:f>Leht1!$M$2:$M$20</c:f>
              <c:numCache>
                <c:formatCode>General</c:formatCode>
                <c:ptCount val="19"/>
              </c:numCache>
            </c:numRef>
          </c:val>
          <c:extLst>
            <c:ext xmlns:c16="http://schemas.microsoft.com/office/drawing/2014/chart" uri="{C3380CC4-5D6E-409C-BE32-E72D297353CC}">
              <c16:uniqueId val="{0000000D-F116-499B-8328-08068BD0CB21}"/>
            </c:ext>
          </c:extLst>
        </c:ser>
        <c:dLbls>
          <c:showLegendKey val="0"/>
          <c:showVal val="0"/>
          <c:showCatName val="0"/>
          <c:showSerName val="0"/>
          <c:showPercent val="0"/>
          <c:showBubbleSize val="0"/>
        </c:dLbls>
        <c:gapWidth val="0"/>
        <c:axId val="1771551679"/>
        <c:axId val="1668478287"/>
      </c:barChart>
      <c:catAx>
        <c:axId val="1590895327"/>
        <c:scaling>
          <c:orientation val="minMax"/>
        </c:scaling>
        <c:delete val="0"/>
        <c:axPos val="l"/>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663293375"/>
        <c:crosses val="autoZero"/>
        <c:auto val="1"/>
        <c:lblAlgn val="ctr"/>
        <c:lblOffset val="100"/>
        <c:noMultiLvlLbl val="0"/>
      </c:catAx>
      <c:valAx>
        <c:axId val="1663293375"/>
        <c:scaling>
          <c:orientation val="minMax"/>
          <c:max val="1500"/>
          <c:min val="-30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90895327"/>
        <c:crosses val="autoZero"/>
        <c:crossBetween val="between"/>
        <c:majorUnit val="300"/>
      </c:valAx>
      <c:valAx>
        <c:axId val="1668478287"/>
        <c:scaling>
          <c:orientation val="minMax"/>
          <c:max val="7500"/>
          <c:min val="-1500"/>
        </c:scaling>
        <c:delete val="0"/>
        <c:axPos val="t"/>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771551679"/>
        <c:crosses val="max"/>
        <c:crossBetween val="between"/>
        <c:majorUnit val="1500"/>
        <c:minorUnit val="700"/>
      </c:valAx>
      <c:catAx>
        <c:axId val="1771551679"/>
        <c:scaling>
          <c:orientation val="minMax"/>
        </c:scaling>
        <c:delete val="1"/>
        <c:axPos val="l"/>
        <c:numFmt formatCode="General" sourceLinked="1"/>
        <c:majorTickMark val="out"/>
        <c:minorTickMark val="none"/>
        <c:tickLblPos val="nextTo"/>
        <c:crossAx val="1668478287"/>
        <c:crosses val="autoZero"/>
        <c:auto val="1"/>
        <c:lblAlgn val="ctr"/>
        <c:lblOffset val="100"/>
        <c:noMultiLvlLbl val="0"/>
      </c:catAx>
      <c:spPr>
        <a:noFill/>
        <a:ln>
          <a:noFill/>
        </a:ln>
        <a:effectLst/>
      </c:spPr>
    </c:plotArea>
    <c:legend>
      <c:legendPos val="b"/>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8.3000145815106452E-2"/>
          <c:y val="0.85286180106314924"/>
          <c:w val="0.85483304170312058"/>
          <c:h val="0.136485735554693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Leht1!$B$1</c:f>
              <c:strCache>
                <c:ptCount val="1"/>
                <c:pt idx="0">
                  <c:v>Töötamiseks väljastatud elamisloaga töötaja keskmine töötasu, 2019-2020 keskmine</c:v>
                </c:pt>
              </c:strCache>
            </c:strRef>
          </c:tx>
          <c:spPr>
            <a:solidFill>
              <a:schemeClr val="accent1"/>
            </a:solidFill>
            <a:ln>
              <a:noFill/>
            </a:ln>
            <a:effectLst/>
          </c:spPr>
          <c:invertIfNegative val="0"/>
          <c:cat>
            <c:strRef>
              <c:f>Leht1!$A$2:$A$20</c:f>
              <c:strCache>
                <c:ptCount val="19"/>
                <c:pt idx="0">
                  <c:v>Põllumajandus, metsamajandus ja kalapüük</c:v>
                </c:pt>
                <c:pt idx="1">
                  <c:v>Mäetööstus</c:v>
                </c:pt>
                <c:pt idx="2">
                  <c:v>Töötlev tööstus</c:v>
                </c:pt>
                <c:pt idx="3">
                  <c:v>Elektrienergia, gaasi-ja veevarustus, jäätmekäitlus</c:v>
                </c:pt>
                <c:pt idx="4">
                  <c:v>Ehitus</c:v>
                </c:pt>
                <c:pt idx="5">
                  <c:v>Hulgi- ja jaekaubandus; mootorsõidukite ja mootorrataste remont</c:v>
                </c:pt>
                <c:pt idx="6">
                  <c:v>Veondus ja laondus</c:v>
                </c:pt>
                <c:pt idx="7">
                  <c:v>Majutus ja toitlustus</c:v>
                </c:pt>
                <c:pt idx="8">
                  <c:v>Info ja side</c:v>
                </c:pt>
                <c:pt idx="9">
                  <c:v>Finants- ja kindlustustegevus</c:v>
                </c:pt>
                <c:pt idx="10">
                  <c:v>Kinnisvaraalane tegevus</c:v>
                </c:pt>
                <c:pt idx="11">
                  <c:v>Kutse-, teadus- ja tehnikaalane tegevus</c:v>
                </c:pt>
                <c:pt idx="12">
                  <c:v>Haldus- ja abitegevused</c:v>
                </c:pt>
                <c:pt idx="13">
                  <c:v>Avalik haldus ja riigikaitse; kohustuslik sotsiaalkindlustus</c:v>
                </c:pt>
                <c:pt idx="14">
                  <c:v>Haridus</c:v>
                </c:pt>
                <c:pt idx="15">
                  <c:v>Tervishoid ja sotsiaalhoolekanne</c:v>
                </c:pt>
                <c:pt idx="16">
                  <c:v>Kunst, meelelahutus ja vaba aeg</c:v>
                </c:pt>
                <c:pt idx="17">
                  <c:v>Muud tegevusalad</c:v>
                </c:pt>
                <c:pt idx="18">
                  <c:v>Puudu/Märkimata*</c:v>
                </c:pt>
              </c:strCache>
            </c:strRef>
          </c:cat>
          <c:val>
            <c:numRef>
              <c:f>Leht1!$B$2:$B$20</c:f>
              <c:numCache>
                <c:formatCode>#,##0</c:formatCode>
                <c:ptCount val="19"/>
                <c:pt idx="0">
                  <c:v>1359.4595013422831</c:v>
                </c:pt>
                <c:pt idx="1">
                  <c:v>2051.9322202380949</c:v>
                </c:pt>
                <c:pt idx="2">
                  <c:v>1490.2413994116987</c:v>
                </c:pt>
                <c:pt idx="3">
                  <c:v>2368.5983218157185</c:v>
                </c:pt>
                <c:pt idx="4">
                  <c:v>1267.9308811390188</c:v>
                </c:pt>
                <c:pt idx="5">
                  <c:v>1831.9361870282598</c:v>
                </c:pt>
                <c:pt idx="6">
                  <c:v>1313.0887115826699</c:v>
                </c:pt>
                <c:pt idx="7">
                  <c:v>1184.5138575970036</c:v>
                </c:pt>
                <c:pt idx="8">
                  <c:v>3537.0752153519898</c:v>
                </c:pt>
                <c:pt idx="9">
                  <c:v>2660.1377093004412</c:v>
                </c:pt>
                <c:pt idx="10">
                  <c:v>1754.7281964285717</c:v>
                </c:pt>
                <c:pt idx="11">
                  <c:v>2261.992947882261</c:v>
                </c:pt>
                <c:pt idx="12">
                  <c:v>1361.2863241672076</c:v>
                </c:pt>
                <c:pt idx="13">
                  <c:v>#N/A</c:v>
                </c:pt>
                <c:pt idx="14">
                  <c:v>1912.4502053995329</c:v>
                </c:pt>
                <c:pt idx="15">
                  <c:v>2646.2167174911201</c:v>
                </c:pt>
                <c:pt idx="16">
                  <c:v>1385.6026485657558</c:v>
                </c:pt>
                <c:pt idx="17">
                  <c:v>#N/A</c:v>
                </c:pt>
                <c:pt idx="18">
                  <c:v>#N/A</c:v>
                </c:pt>
              </c:numCache>
            </c:numRef>
          </c:val>
          <c:extLst>
            <c:ext xmlns:c16="http://schemas.microsoft.com/office/drawing/2014/chart" uri="{C3380CC4-5D6E-409C-BE32-E72D297353CC}">
              <c16:uniqueId val="{00000000-B3B7-46F3-B685-75EF8F62CAD6}"/>
            </c:ext>
          </c:extLst>
        </c:ser>
        <c:ser>
          <c:idx val="1"/>
          <c:order val="1"/>
          <c:tx>
            <c:strRef>
              <c:f>Leht1!$C$1</c:f>
              <c:strCache>
                <c:ptCount val="1"/>
                <c:pt idx="0">
                  <c:v>Keskmine palk, 2018-2019 keskmine</c:v>
                </c:pt>
              </c:strCache>
            </c:strRef>
          </c:tx>
          <c:spPr>
            <a:solidFill>
              <a:schemeClr val="accent2"/>
            </a:solidFill>
            <a:ln>
              <a:noFill/>
            </a:ln>
            <a:effectLst/>
          </c:spPr>
          <c:invertIfNegative val="0"/>
          <c:cat>
            <c:strRef>
              <c:f>Leht1!$A$2:$A$20</c:f>
              <c:strCache>
                <c:ptCount val="19"/>
                <c:pt idx="0">
                  <c:v>Põllumajandus, metsamajandus ja kalapüük</c:v>
                </c:pt>
                <c:pt idx="1">
                  <c:v>Mäetööstus</c:v>
                </c:pt>
                <c:pt idx="2">
                  <c:v>Töötlev tööstus</c:v>
                </c:pt>
                <c:pt idx="3">
                  <c:v>Elektrienergia, gaasi-ja veevarustus, jäätmekäitlus</c:v>
                </c:pt>
                <c:pt idx="4">
                  <c:v>Ehitus</c:v>
                </c:pt>
                <c:pt idx="5">
                  <c:v>Hulgi- ja jaekaubandus; mootorsõidukite ja mootorrataste remont</c:v>
                </c:pt>
                <c:pt idx="6">
                  <c:v>Veondus ja laondus</c:v>
                </c:pt>
                <c:pt idx="7">
                  <c:v>Majutus ja toitlustus</c:v>
                </c:pt>
                <c:pt idx="8">
                  <c:v>Info ja side</c:v>
                </c:pt>
                <c:pt idx="9">
                  <c:v>Finants- ja kindlustustegevus</c:v>
                </c:pt>
                <c:pt idx="10">
                  <c:v>Kinnisvaraalane tegevus</c:v>
                </c:pt>
                <c:pt idx="11">
                  <c:v>Kutse-, teadus- ja tehnikaalane tegevus</c:v>
                </c:pt>
                <c:pt idx="12">
                  <c:v>Haldus- ja abitegevused</c:v>
                </c:pt>
                <c:pt idx="13">
                  <c:v>Avalik haldus ja riigikaitse; kohustuslik sotsiaalkindlustus</c:v>
                </c:pt>
                <c:pt idx="14">
                  <c:v>Haridus</c:v>
                </c:pt>
                <c:pt idx="15">
                  <c:v>Tervishoid ja sotsiaalhoolekanne</c:v>
                </c:pt>
                <c:pt idx="16">
                  <c:v>Kunst, meelelahutus ja vaba aeg</c:v>
                </c:pt>
                <c:pt idx="17">
                  <c:v>Muud tegevusalad</c:v>
                </c:pt>
                <c:pt idx="18">
                  <c:v>Puudu/Märkimata*</c:v>
                </c:pt>
              </c:strCache>
            </c:strRef>
          </c:cat>
          <c:val>
            <c:numRef>
              <c:f>Leht1!$C$2:$C$20</c:f>
              <c:numCache>
                <c:formatCode>0</c:formatCode>
                <c:ptCount val="19"/>
                <c:pt idx="0">
                  <c:v>1152</c:v>
                </c:pt>
                <c:pt idx="1">
                  <c:v>1622</c:v>
                </c:pt>
                <c:pt idx="2">
                  <c:v>1294</c:v>
                </c:pt>
                <c:pt idx="3">
                  <c:v>1686.9095639529039</c:v>
                </c:pt>
                <c:pt idx="4">
                  <c:v>1302</c:v>
                </c:pt>
                <c:pt idx="5">
                  <c:v>1269.5</c:v>
                </c:pt>
                <c:pt idx="6">
                  <c:v>1293.5</c:v>
                </c:pt>
                <c:pt idx="7">
                  <c:v>879.5</c:v>
                </c:pt>
                <c:pt idx="8">
                  <c:v>2257</c:v>
                </c:pt>
                <c:pt idx="9">
                  <c:v>2237.5</c:v>
                </c:pt>
                <c:pt idx="10">
                  <c:v>1046</c:v>
                </c:pt>
                <c:pt idx="11">
                  <c:v>1540.5</c:v>
                </c:pt>
                <c:pt idx="12">
                  <c:v>1171.5</c:v>
                </c:pt>
                <c:pt idx="13">
                  <c:v>1701.5</c:v>
                </c:pt>
                <c:pt idx="14">
                  <c:v>1277</c:v>
                </c:pt>
                <c:pt idx="15">
                  <c:v>1426</c:v>
                </c:pt>
                <c:pt idx="16">
                  <c:v>1133</c:v>
                </c:pt>
                <c:pt idx="17">
                  <c:v>1003.5</c:v>
                </c:pt>
              </c:numCache>
            </c:numRef>
          </c:val>
          <c:extLst>
            <c:ext xmlns:c16="http://schemas.microsoft.com/office/drawing/2014/chart" uri="{C3380CC4-5D6E-409C-BE32-E72D297353CC}">
              <c16:uniqueId val="{00000001-B3B7-46F3-B685-75EF8F62CAD6}"/>
            </c:ext>
          </c:extLst>
        </c:ser>
        <c:ser>
          <c:idx val="2"/>
          <c:order val="2"/>
          <c:tx>
            <c:strRef>
              <c:f>Leht1!$D$1</c:f>
              <c:strCache>
                <c:ptCount val="1"/>
                <c:pt idx="0">
                  <c:v>Eesti keskmine palk, 2018-2019</c:v>
                </c:pt>
              </c:strCache>
            </c:strRef>
          </c:tx>
          <c:spPr>
            <a:noFill/>
            <a:ln>
              <a:noFill/>
            </a:ln>
            <a:effectLst/>
          </c:spPr>
          <c:invertIfNegative val="0"/>
          <c:trendline>
            <c:name>Eesti keskmine palk, 2018-2019 keskmine</c:name>
            <c:spPr>
              <a:ln w="19050" cap="rnd">
                <a:solidFill>
                  <a:schemeClr val="accent3"/>
                </a:solidFill>
                <a:prstDash val="sysDot"/>
              </a:ln>
              <a:effectLst/>
            </c:spPr>
            <c:trendlineType val="linear"/>
            <c:dispRSqr val="0"/>
            <c:dispEq val="0"/>
          </c:trendline>
          <c:cat>
            <c:strRef>
              <c:f>Leht1!$A$2:$A$20</c:f>
              <c:strCache>
                <c:ptCount val="19"/>
                <c:pt idx="0">
                  <c:v>Põllumajandus, metsamajandus ja kalapüük</c:v>
                </c:pt>
                <c:pt idx="1">
                  <c:v>Mäetööstus</c:v>
                </c:pt>
                <c:pt idx="2">
                  <c:v>Töötlev tööstus</c:v>
                </c:pt>
                <c:pt idx="3">
                  <c:v>Elektrienergia, gaasi-ja veevarustus, jäätmekäitlus</c:v>
                </c:pt>
                <c:pt idx="4">
                  <c:v>Ehitus</c:v>
                </c:pt>
                <c:pt idx="5">
                  <c:v>Hulgi- ja jaekaubandus; mootorsõidukite ja mootorrataste remont</c:v>
                </c:pt>
                <c:pt idx="6">
                  <c:v>Veondus ja laondus</c:v>
                </c:pt>
                <c:pt idx="7">
                  <c:v>Majutus ja toitlustus</c:v>
                </c:pt>
                <c:pt idx="8">
                  <c:v>Info ja side</c:v>
                </c:pt>
                <c:pt idx="9">
                  <c:v>Finants- ja kindlustustegevus</c:v>
                </c:pt>
                <c:pt idx="10">
                  <c:v>Kinnisvaraalane tegevus</c:v>
                </c:pt>
                <c:pt idx="11">
                  <c:v>Kutse-, teadus- ja tehnikaalane tegevus</c:v>
                </c:pt>
                <c:pt idx="12">
                  <c:v>Haldus- ja abitegevused</c:v>
                </c:pt>
                <c:pt idx="13">
                  <c:v>Avalik haldus ja riigikaitse; kohustuslik sotsiaalkindlustus</c:v>
                </c:pt>
                <c:pt idx="14">
                  <c:v>Haridus</c:v>
                </c:pt>
                <c:pt idx="15">
                  <c:v>Tervishoid ja sotsiaalhoolekanne</c:v>
                </c:pt>
                <c:pt idx="16">
                  <c:v>Kunst, meelelahutus ja vaba aeg</c:v>
                </c:pt>
                <c:pt idx="17">
                  <c:v>Muud tegevusalad</c:v>
                </c:pt>
                <c:pt idx="18">
                  <c:v>Puudu/Märkimata*</c:v>
                </c:pt>
              </c:strCache>
            </c:strRef>
          </c:cat>
          <c:val>
            <c:numRef>
              <c:f>Leht1!$D$2:$D$20</c:f>
              <c:numCache>
                <c:formatCode>0</c:formatCode>
                <c:ptCount val="19"/>
                <c:pt idx="0">
                  <c:v>1358.5</c:v>
                </c:pt>
                <c:pt idx="1">
                  <c:v>1358.5</c:v>
                </c:pt>
                <c:pt idx="2">
                  <c:v>1358.5</c:v>
                </c:pt>
                <c:pt idx="3">
                  <c:v>1358.5</c:v>
                </c:pt>
                <c:pt idx="4">
                  <c:v>1358.5</c:v>
                </c:pt>
                <c:pt idx="5">
                  <c:v>1358.5</c:v>
                </c:pt>
                <c:pt idx="6">
                  <c:v>1358.5</c:v>
                </c:pt>
                <c:pt idx="7">
                  <c:v>1358.5</c:v>
                </c:pt>
                <c:pt idx="8">
                  <c:v>1358.5</c:v>
                </c:pt>
                <c:pt idx="9">
                  <c:v>1358.5</c:v>
                </c:pt>
                <c:pt idx="10">
                  <c:v>1358.5</c:v>
                </c:pt>
                <c:pt idx="11">
                  <c:v>1358.5</c:v>
                </c:pt>
                <c:pt idx="12">
                  <c:v>1358.5</c:v>
                </c:pt>
                <c:pt idx="13">
                  <c:v>1358.5</c:v>
                </c:pt>
                <c:pt idx="14">
                  <c:v>1358.5</c:v>
                </c:pt>
                <c:pt idx="15">
                  <c:v>1358.5</c:v>
                </c:pt>
                <c:pt idx="16">
                  <c:v>1358.5</c:v>
                </c:pt>
                <c:pt idx="17">
                  <c:v>1358.5</c:v>
                </c:pt>
              </c:numCache>
            </c:numRef>
          </c:val>
          <c:extLst>
            <c:ext xmlns:c16="http://schemas.microsoft.com/office/drawing/2014/chart" uri="{C3380CC4-5D6E-409C-BE32-E72D297353CC}">
              <c16:uniqueId val="{00000002-B3B7-46F3-B685-75EF8F62CAD6}"/>
            </c:ext>
          </c:extLst>
        </c:ser>
        <c:dLbls>
          <c:showLegendKey val="0"/>
          <c:showVal val="0"/>
          <c:showCatName val="0"/>
          <c:showSerName val="0"/>
          <c:showPercent val="0"/>
          <c:showBubbleSize val="0"/>
        </c:dLbls>
        <c:gapWidth val="182"/>
        <c:axId val="1519092464"/>
        <c:axId val="1640381344"/>
      </c:barChart>
      <c:catAx>
        <c:axId val="15190924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640381344"/>
        <c:crosses val="autoZero"/>
        <c:auto val="1"/>
        <c:lblAlgn val="ctr"/>
        <c:lblOffset val="100"/>
        <c:noMultiLvlLbl val="0"/>
      </c:catAx>
      <c:valAx>
        <c:axId val="1640381344"/>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a:t>eurot</a:t>
                </a:r>
              </a:p>
            </c:rich>
          </c:tx>
          <c:layout>
            <c:manualLayout>
              <c:xMode val="edge"/>
              <c:yMode val="edge"/>
              <c:x val="0.91855041557305339"/>
              <c:y val="0.8844317096466093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t-EE"/>
            </a:p>
          </c:txPr>
        </c:title>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1909246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0.64028</cdr:x>
      <cdr:y>0.2362</cdr:y>
    </cdr:from>
    <cdr:to>
      <cdr:x>0.69931</cdr:x>
      <cdr:y>0.2362</cdr:y>
    </cdr:to>
    <cdr:cxnSp macro="">
      <cdr:nvCxnSpPr>
        <cdr:cNvPr id="2" name="Sirge noolkonnektor 1"/>
        <cdr:cNvCxnSpPr/>
      </cdr:nvCxnSpPr>
      <cdr:spPr>
        <a:xfrm xmlns:a="http://schemas.openxmlformats.org/drawingml/2006/main" flipH="1">
          <a:off x="3512820" y="1570355"/>
          <a:ext cx="323850" cy="0"/>
        </a:xfrm>
        <a:prstGeom xmlns:a="http://schemas.openxmlformats.org/drawingml/2006/main" prst="straightConnector1">
          <a:avLst/>
        </a:prstGeom>
        <a:ln xmlns:a="http://schemas.openxmlformats.org/drawingml/2006/main" w="38100">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0.64086</cdr:x>
      <cdr:y>0.57192</cdr:y>
    </cdr:from>
    <cdr:to>
      <cdr:x>0.69988</cdr:x>
      <cdr:y>0.57192</cdr:y>
    </cdr:to>
    <cdr:cxnSp macro="">
      <cdr:nvCxnSpPr>
        <cdr:cNvPr id="3" name="Sirge noolkonnektor 2"/>
        <cdr:cNvCxnSpPr/>
      </cdr:nvCxnSpPr>
      <cdr:spPr>
        <a:xfrm xmlns:a="http://schemas.openxmlformats.org/drawingml/2006/main" flipH="1">
          <a:off x="3515995" y="3802380"/>
          <a:ext cx="323850" cy="0"/>
        </a:xfrm>
        <a:prstGeom xmlns:a="http://schemas.openxmlformats.org/drawingml/2006/main" prst="straightConnector1">
          <a:avLst/>
        </a:prstGeom>
        <a:ln xmlns:a="http://schemas.openxmlformats.org/drawingml/2006/main" w="38100">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0.64086</cdr:x>
      <cdr:y>0.06762</cdr:y>
    </cdr:from>
    <cdr:to>
      <cdr:x>0.69988</cdr:x>
      <cdr:y>0.06762</cdr:y>
    </cdr:to>
    <cdr:cxnSp macro="">
      <cdr:nvCxnSpPr>
        <cdr:cNvPr id="4" name="Sirge noolkonnektor 3"/>
        <cdr:cNvCxnSpPr/>
      </cdr:nvCxnSpPr>
      <cdr:spPr>
        <a:xfrm xmlns:a="http://schemas.openxmlformats.org/drawingml/2006/main" flipH="1">
          <a:off x="3515995" y="449580"/>
          <a:ext cx="323850" cy="0"/>
        </a:xfrm>
        <a:prstGeom xmlns:a="http://schemas.openxmlformats.org/drawingml/2006/main" prst="straightConnector1">
          <a:avLst/>
        </a:prstGeom>
        <a:ln xmlns:a="http://schemas.openxmlformats.org/drawingml/2006/main" w="38100">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0.64259</cdr:x>
      <cdr:y>0.36275</cdr:y>
    </cdr:from>
    <cdr:to>
      <cdr:x>0.70162</cdr:x>
      <cdr:y>0.36275</cdr:y>
    </cdr:to>
    <cdr:cxnSp macro="">
      <cdr:nvCxnSpPr>
        <cdr:cNvPr id="5" name="Sirge noolkonnektor 4"/>
        <cdr:cNvCxnSpPr/>
      </cdr:nvCxnSpPr>
      <cdr:spPr>
        <a:xfrm xmlns:a="http://schemas.openxmlformats.org/drawingml/2006/main" flipH="1">
          <a:off x="3525520" y="2411730"/>
          <a:ext cx="323850" cy="0"/>
        </a:xfrm>
        <a:prstGeom xmlns:a="http://schemas.openxmlformats.org/drawingml/2006/main" prst="straightConnector1">
          <a:avLst/>
        </a:prstGeom>
        <a:ln xmlns:a="http://schemas.openxmlformats.org/drawingml/2006/main" w="38100">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0.64259</cdr:x>
      <cdr:y>0.74097</cdr:y>
    </cdr:from>
    <cdr:to>
      <cdr:x>0.70162</cdr:x>
      <cdr:y>0.74097</cdr:y>
    </cdr:to>
    <cdr:cxnSp macro="">
      <cdr:nvCxnSpPr>
        <cdr:cNvPr id="6" name="Sirge noolkonnektor 5"/>
        <cdr:cNvCxnSpPr/>
      </cdr:nvCxnSpPr>
      <cdr:spPr>
        <a:xfrm xmlns:a="http://schemas.openxmlformats.org/drawingml/2006/main" flipH="1">
          <a:off x="3525520" y="4926330"/>
          <a:ext cx="323850" cy="0"/>
        </a:xfrm>
        <a:prstGeom xmlns:a="http://schemas.openxmlformats.org/drawingml/2006/main" prst="straightConnector1">
          <a:avLst/>
        </a:prstGeom>
        <a:ln xmlns:a="http://schemas.openxmlformats.org/drawingml/2006/main" w="38100">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0.64259</cdr:x>
      <cdr:y>0.31977</cdr:y>
    </cdr:from>
    <cdr:to>
      <cdr:x>0.70162</cdr:x>
      <cdr:y>0.31977</cdr:y>
    </cdr:to>
    <cdr:cxnSp macro="">
      <cdr:nvCxnSpPr>
        <cdr:cNvPr id="7" name="Sirge noolkonnektor 6"/>
        <cdr:cNvCxnSpPr/>
      </cdr:nvCxnSpPr>
      <cdr:spPr>
        <a:xfrm xmlns:a="http://schemas.openxmlformats.org/drawingml/2006/main" flipH="1">
          <a:off x="3525520" y="2125980"/>
          <a:ext cx="323850" cy="0"/>
        </a:xfrm>
        <a:prstGeom xmlns:a="http://schemas.openxmlformats.org/drawingml/2006/main" prst="straightConnector1">
          <a:avLst/>
        </a:prstGeom>
        <a:ln xmlns:a="http://schemas.openxmlformats.org/drawingml/2006/main" w="38100">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2D33-AD66-4DD5-B38B-D0B6F034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2939</Words>
  <Characters>17051</Characters>
  <Application>Microsoft Office Word</Application>
  <DocSecurity>0</DocSecurity>
  <Lines>142</Lines>
  <Paragraphs>39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Lambing</dc:creator>
  <cp:keywords/>
  <dc:description/>
  <cp:lastModifiedBy>info</cp:lastModifiedBy>
  <cp:revision>4</cp:revision>
  <dcterms:created xsi:type="dcterms:W3CDTF">2021-06-03T12:05:00Z</dcterms:created>
  <dcterms:modified xsi:type="dcterms:W3CDTF">2021-06-03T12:22:00Z</dcterms:modified>
</cp:coreProperties>
</file>